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60" w:rsidRDefault="00A84960" w:rsidP="00A84960">
      <w:pPr>
        <w:spacing w:before="113" w:after="113"/>
        <w:jc w:val="center"/>
        <w:rPr>
          <w:b/>
          <w:bCs/>
        </w:rPr>
      </w:pPr>
      <w:r>
        <w:rPr>
          <w:b/>
          <w:bCs/>
        </w:rPr>
        <w:t>SYLABUS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VZDĚLÁVACÍ PROGRAM:</w:t>
      </w:r>
    </w:p>
    <w:p w:rsidR="00A84960" w:rsidRDefault="00A84960" w:rsidP="00A8496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before="113" w:after="11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UČITELSTVÍ VŠEOBECNĚ VZDĚLÁVACÍCH PŘEDMĚTŮ </w:t>
      </w:r>
      <w:r>
        <w:rPr>
          <w:b/>
          <w:bCs/>
          <w:sz w:val="32"/>
          <w:szCs w:val="32"/>
        </w:rPr>
        <w:br/>
        <w:t>SŠ A 2. STUPNĚ ZŠ</w:t>
      </w:r>
    </w:p>
    <w:p w:rsidR="00A84960" w:rsidRDefault="00A84960" w:rsidP="00A84960">
      <w:pPr>
        <w:spacing w:before="113" w:after="113"/>
        <w:jc w:val="center"/>
        <w:rPr>
          <w:b/>
          <w:bCs/>
        </w:rPr>
      </w:pPr>
    </w:p>
    <w:p w:rsidR="00A84960" w:rsidRDefault="0026175D" w:rsidP="00A84960">
      <w:pPr>
        <w:spacing w:before="113" w:after="113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Oborová didaktika německého jazyka</w:t>
      </w:r>
    </w:p>
    <w:p w:rsidR="00A84960" w:rsidRDefault="00A84960" w:rsidP="00A84960">
      <w:pPr>
        <w:spacing w:before="113" w:after="113"/>
        <w:jc w:val="center"/>
        <w:rPr>
          <w:b/>
          <w:bCs/>
          <w:caps/>
          <w:sz w:val="48"/>
          <w:szCs w:val="48"/>
        </w:rPr>
      </w:pPr>
      <w:r>
        <w:rPr>
          <w:b/>
          <w:bCs/>
          <w:caps/>
          <w:sz w:val="48"/>
          <w:szCs w:val="48"/>
        </w:rPr>
        <w:t>Kód předmětu</w:t>
      </w:r>
    </w:p>
    <w:p w:rsidR="0026175D" w:rsidRPr="008E6892" w:rsidRDefault="0026175D" w:rsidP="0026175D">
      <w:pPr>
        <w:spacing w:before="113" w:after="113"/>
        <w:jc w:val="center"/>
        <w:rPr>
          <w:b/>
          <w:bCs/>
          <w:sz w:val="20"/>
          <w:szCs w:val="20"/>
        </w:rPr>
      </w:pPr>
      <w:r>
        <w:rPr>
          <w:sz w:val="40"/>
          <w:szCs w:val="40"/>
        </w:rPr>
        <w:t>OCRY17UV15, OCRY17UV16</w:t>
      </w:r>
    </w:p>
    <w:p w:rsidR="00A84960" w:rsidRDefault="00A84960" w:rsidP="00A84960">
      <w:pPr>
        <w:spacing w:before="113" w:after="113"/>
        <w:jc w:val="center"/>
        <w:rPr>
          <w:b/>
          <w:bCs/>
          <w:color w:val="0070C0"/>
          <w:sz w:val="40"/>
          <w:szCs w:val="40"/>
          <w:u w:val="single"/>
        </w:rPr>
      </w:pPr>
    </w:p>
    <w:tbl>
      <w:tblPr>
        <w:tblW w:w="9659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9"/>
        <w:gridCol w:w="6900"/>
      </w:tblGrid>
      <w:tr w:rsidR="00A84960" w:rsidTr="00727BB2">
        <w:tc>
          <w:tcPr>
            <w:tcW w:w="27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Garant:</w:t>
            </w:r>
          </w:p>
        </w:tc>
        <w:tc>
          <w:tcPr>
            <w:tcW w:w="68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snapToGrid w:val="0"/>
              <w:spacing w:before="17" w:after="17"/>
            </w:pPr>
            <w:r>
              <w:t>PhDr. Jana Kohnová, Ph.D.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Vyučující: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26175D" w:rsidP="00727BB2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PaedDr. Dagmar Švermová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Fakulta: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Pedagogická fakulta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Pracoviště: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Ústav profesního rozvoje pracovníků ve školství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Akademický rok: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094E55" w:rsidP="00727BB2">
            <w:pPr>
              <w:pStyle w:val="Obsahtabulky"/>
              <w:snapToGrid w:val="0"/>
              <w:spacing w:before="17" w:after="17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17/2018 a 2018/2019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Semestr: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pStyle w:val="Obsahtabulky"/>
              <w:snapToGrid w:val="0"/>
              <w:spacing w:before="17" w:after="17"/>
            </w:pPr>
            <w:r>
              <w:t>Letní/zimní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Rozsah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7452E8" w:rsidP="00727BB2">
            <w:pPr>
              <w:pStyle w:val="Obsahtabulky"/>
              <w:snapToGrid w:val="0"/>
              <w:spacing w:before="17" w:after="17"/>
            </w:pPr>
            <w:r>
              <w:t>12</w:t>
            </w:r>
            <w:r w:rsidR="00A84960">
              <w:t xml:space="preserve"> hodin přímé výuky / </w:t>
            </w:r>
            <w:r>
              <w:t>6</w:t>
            </w:r>
            <w:r w:rsidR="00A84960">
              <w:t xml:space="preserve"> hodin samostudia</w:t>
            </w:r>
            <w:r w:rsidR="00B367D1">
              <w:t xml:space="preserve"> a </w:t>
            </w:r>
            <w:r>
              <w:t>12</w:t>
            </w:r>
            <w:r w:rsidR="00B367D1">
              <w:t xml:space="preserve"> hodin přímé výuky / </w:t>
            </w:r>
            <w:r>
              <w:t>0</w:t>
            </w:r>
            <w:r w:rsidR="00B367D1">
              <w:t xml:space="preserve"> hodin samostudia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výuky: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</w:pPr>
            <w:r>
              <w:t>K</w:t>
            </w:r>
            <w:proofErr w:type="spellStart"/>
            <w:r>
              <w:rPr>
                <w:lang w:val="en-US"/>
              </w:rPr>
              <w:t>ombinovan</w:t>
            </w:r>
            <w:proofErr w:type="spellEnd"/>
            <w:r>
              <w:t>é studium</w:t>
            </w:r>
          </w:p>
        </w:tc>
      </w:tr>
      <w:tr w:rsidR="00A84960" w:rsidTr="00727BB2">
        <w:tc>
          <w:tcPr>
            <w:tcW w:w="275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pStyle w:val="Obsahtabulky"/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Způsob zakončení:</w:t>
            </w:r>
          </w:p>
        </w:tc>
        <w:tc>
          <w:tcPr>
            <w:tcW w:w="68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B367D1" w:rsidP="00727BB2">
            <w:pPr>
              <w:snapToGrid w:val="0"/>
            </w:pPr>
            <w:r>
              <w:t>Zkouška</w:t>
            </w:r>
          </w:p>
        </w:tc>
      </w:tr>
    </w:tbl>
    <w:p w:rsidR="00A84960" w:rsidRDefault="00A84960" w:rsidP="00A84960">
      <w:pPr>
        <w:spacing w:before="17" w:after="17"/>
      </w:pPr>
    </w:p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rPr>
                <w:b/>
              </w:rPr>
            </w:pPr>
            <w:r>
              <w:rPr>
                <w:b/>
                <w:bCs/>
              </w:rPr>
              <w:t xml:space="preserve">Cíl předmětu: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F67472" w:rsidP="00F67472">
            <w:pPr>
              <w:snapToGrid w:val="0"/>
            </w:pPr>
            <w:r w:rsidRPr="00956AA7">
              <w:t xml:space="preserve">Předmět didaktika </w:t>
            </w:r>
            <w:r>
              <w:t>německého</w:t>
            </w:r>
            <w:r w:rsidRPr="00956AA7">
              <w:t xml:space="preserve"> jazyka</w:t>
            </w:r>
            <w:r>
              <w:t xml:space="preserve"> je</w:t>
            </w:r>
            <w:r w:rsidRPr="00956AA7">
              <w:t xml:space="preserve"> strukturován jako teoreticko-praktický kurz. Sleduje jak teor</w:t>
            </w:r>
            <w:r>
              <w:t>etická východiska výuky německého</w:t>
            </w:r>
            <w:r w:rsidRPr="00956AA7">
              <w:t xml:space="preserve"> jazyka, tak i jejich praktickou aplikaci v každodenní výuce. Vede účastníky </w:t>
            </w:r>
            <w:r>
              <w:t>kurzu k poznání nejdůležitějších</w:t>
            </w:r>
            <w:r w:rsidRPr="00956AA7">
              <w:t xml:space="preserve"> trendů v současném vzdělávání obecně i specificky v oblasti výuky </w:t>
            </w:r>
            <w:r>
              <w:t>německého</w:t>
            </w:r>
            <w:r w:rsidRPr="00956AA7">
              <w:t xml:space="preserve"> jazyka a učí je tyto trendy prakticky uplatňovat ve školní třídě.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jc w:val="both"/>
              <w:rPr>
                <w:b/>
              </w:rPr>
            </w:pPr>
            <w:r>
              <w:rPr>
                <w:b/>
              </w:rPr>
              <w:t>Obsah kurzu: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7472" w:rsidRDefault="00F67472" w:rsidP="00F67472">
            <w:pPr>
              <w:numPr>
                <w:ilvl w:val="0"/>
                <w:numId w:val="3"/>
              </w:numPr>
              <w:spacing w:before="23" w:after="23"/>
            </w:pPr>
            <w:r>
              <w:t xml:space="preserve">ročník: </w:t>
            </w:r>
          </w:p>
          <w:p w:rsidR="00F67472" w:rsidRDefault="00F67472" w:rsidP="00F67472">
            <w:pPr>
              <w:numPr>
                <w:ilvl w:val="0"/>
                <w:numId w:val="4"/>
              </w:numPr>
              <w:spacing w:before="23" w:after="23"/>
            </w:pPr>
            <w:r>
              <w:t>proč se učíme cizí jazyky</w:t>
            </w:r>
          </w:p>
          <w:p w:rsidR="00F67472" w:rsidRDefault="00F67472" w:rsidP="00F67472">
            <w:pPr>
              <w:numPr>
                <w:ilvl w:val="0"/>
                <w:numId w:val="4"/>
              </w:numPr>
              <w:spacing w:before="23" w:after="23"/>
            </w:pPr>
            <w:r>
              <w:t>faktory ovlivňující úspěch výuky německého jazyka</w:t>
            </w:r>
          </w:p>
          <w:p w:rsidR="00F67472" w:rsidRDefault="00F67472" w:rsidP="00F67472">
            <w:pPr>
              <w:numPr>
                <w:ilvl w:val="0"/>
                <w:numId w:val="4"/>
              </w:numPr>
              <w:spacing w:before="23" w:after="23"/>
            </w:pPr>
            <w:r>
              <w:t>motivace studentů ke studiu německého jazyka</w:t>
            </w:r>
          </w:p>
          <w:p w:rsidR="00F67472" w:rsidRDefault="00F67472" w:rsidP="00F67472">
            <w:pPr>
              <w:spacing w:before="23" w:after="23"/>
              <w:ind w:left="360"/>
            </w:pPr>
            <w:proofErr w:type="gramStart"/>
            <w:r>
              <w:t>-    obsah</w:t>
            </w:r>
            <w:proofErr w:type="gramEnd"/>
            <w:r>
              <w:t xml:space="preserve"> vyučování německého jazyka</w:t>
            </w:r>
          </w:p>
          <w:p w:rsidR="00F67472" w:rsidRDefault="00F67472" w:rsidP="00F67472">
            <w:pPr>
              <w:numPr>
                <w:ilvl w:val="0"/>
                <w:numId w:val="4"/>
              </w:numPr>
              <w:spacing w:before="23" w:after="23"/>
            </w:pPr>
            <w:r>
              <w:t>metody a přístupy k vyučování německého jazyka</w:t>
            </w:r>
          </w:p>
          <w:p w:rsidR="00181107" w:rsidRDefault="00181107" w:rsidP="00181107">
            <w:pPr>
              <w:numPr>
                <w:ilvl w:val="0"/>
                <w:numId w:val="4"/>
              </w:numPr>
              <w:spacing w:before="23" w:after="23"/>
            </w:pPr>
            <w:r>
              <w:lastRenderedPageBreak/>
              <w:t>kompetence v </w:t>
            </w:r>
            <w:r>
              <w:t>cizojazyčném</w:t>
            </w:r>
            <w:r>
              <w:t xml:space="preserve"> vyučování</w:t>
            </w:r>
            <w:r>
              <w:t xml:space="preserve"> a jejich definice v </w:t>
            </w:r>
            <w:proofErr w:type="spellStart"/>
            <w:r>
              <w:t>kurikulárních</w:t>
            </w:r>
            <w:proofErr w:type="spellEnd"/>
            <w:r>
              <w:t xml:space="preserve"> dokumentech</w:t>
            </w:r>
          </w:p>
          <w:p w:rsidR="00F67472" w:rsidRDefault="00F67472" w:rsidP="00F67472">
            <w:pPr>
              <w:numPr>
                <w:ilvl w:val="0"/>
                <w:numId w:val="4"/>
              </w:numPr>
              <w:spacing w:before="23" w:after="23"/>
            </w:pPr>
            <w:r>
              <w:t>výuka receptivních dovedností (poslech a čtení)</w:t>
            </w:r>
          </w:p>
          <w:p w:rsidR="00F67472" w:rsidRDefault="00F67472" w:rsidP="00F67472">
            <w:pPr>
              <w:numPr>
                <w:ilvl w:val="0"/>
                <w:numId w:val="4"/>
              </w:numPr>
              <w:spacing w:before="23" w:after="23"/>
            </w:pPr>
            <w:r>
              <w:t>výuka produktivních dovedností (mluvení a psaní)</w:t>
            </w:r>
          </w:p>
          <w:p w:rsidR="00181107" w:rsidRDefault="00181107" w:rsidP="00181107">
            <w:pPr>
              <w:numPr>
                <w:ilvl w:val="0"/>
                <w:numId w:val="4"/>
              </w:numPr>
              <w:spacing w:before="23" w:after="23"/>
            </w:pPr>
            <w:r>
              <w:t>výuka jazykového systému (lexikální, gramatický, fonologický, funkce jazyka)</w:t>
            </w:r>
          </w:p>
          <w:p w:rsidR="00F67472" w:rsidRDefault="00F67472" w:rsidP="00F67472">
            <w:pPr>
              <w:spacing w:before="23" w:after="23"/>
              <w:ind w:left="720"/>
            </w:pPr>
          </w:p>
          <w:p w:rsidR="00F67472" w:rsidRDefault="00F67472" w:rsidP="00F67472">
            <w:pPr>
              <w:spacing w:before="23" w:after="23"/>
              <w:ind w:left="360"/>
            </w:pPr>
          </w:p>
          <w:p w:rsidR="00F67472" w:rsidRDefault="00F67472" w:rsidP="00F67472">
            <w:pPr>
              <w:numPr>
                <w:ilvl w:val="0"/>
                <w:numId w:val="3"/>
              </w:numPr>
              <w:spacing w:before="23" w:after="23"/>
            </w:pPr>
            <w:r>
              <w:t>ročník</w:t>
            </w:r>
          </w:p>
          <w:p w:rsidR="00181107" w:rsidRDefault="00181107" w:rsidP="00F67472">
            <w:pPr>
              <w:numPr>
                <w:ilvl w:val="0"/>
                <w:numId w:val="4"/>
              </w:numPr>
              <w:spacing w:before="23" w:after="23"/>
            </w:pPr>
            <w:r>
              <w:t>příprava na hodinu</w:t>
            </w:r>
          </w:p>
          <w:p w:rsidR="00181107" w:rsidRDefault="00181107" w:rsidP="00181107">
            <w:pPr>
              <w:numPr>
                <w:ilvl w:val="0"/>
                <w:numId w:val="4"/>
              </w:numPr>
              <w:spacing w:before="23" w:after="23"/>
            </w:pPr>
            <w:r>
              <w:t>způsoby prez</w:t>
            </w:r>
            <w:r w:rsidRPr="00E932E7">
              <w:t>entace nového učiva</w:t>
            </w:r>
            <w:r>
              <w:t>, procvičování a upevňování učiva</w:t>
            </w:r>
          </w:p>
          <w:p w:rsidR="00181107" w:rsidRDefault="00181107" w:rsidP="00F67472">
            <w:pPr>
              <w:numPr>
                <w:ilvl w:val="0"/>
                <w:numId w:val="4"/>
              </w:numPr>
              <w:spacing w:before="23" w:after="23"/>
            </w:pPr>
            <w:r>
              <w:t>práce s text, využívání autentických textových materiálů</w:t>
            </w:r>
          </w:p>
          <w:p w:rsidR="00F67472" w:rsidRPr="00181107" w:rsidRDefault="00181107" w:rsidP="00F67472">
            <w:pPr>
              <w:numPr>
                <w:ilvl w:val="0"/>
                <w:numId w:val="4"/>
              </w:numPr>
              <w:spacing w:before="23" w:after="23"/>
            </w:pPr>
            <w:r>
              <w:t xml:space="preserve">evaluační nástroje, </w:t>
            </w:r>
            <w:r w:rsidR="00F67472" w:rsidRPr="00181107">
              <w:t>hodnocení efektivity jazykového vyučování, testování</w:t>
            </w:r>
          </w:p>
          <w:p w:rsidR="00F67472" w:rsidRDefault="00F67472" w:rsidP="00F67472">
            <w:pPr>
              <w:numPr>
                <w:ilvl w:val="0"/>
                <w:numId w:val="4"/>
              </w:numPr>
              <w:spacing w:before="23" w:after="23"/>
            </w:pPr>
            <w:r>
              <w:t xml:space="preserve">oprava chyb a zpětná vazba </w:t>
            </w:r>
          </w:p>
          <w:p w:rsidR="00F67472" w:rsidRDefault="00F67472" w:rsidP="00F67472">
            <w:pPr>
              <w:numPr>
                <w:ilvl w:val="0"/>
                <w:numId w:val="4"/>
              </w:numPr>
              <w:spacing w:before="23" w:after="23"/>
            </w:pPr>
            <w:r>
              <w:t xml:space="preserve">strukturální a reflexivní zpětná vazba na </w:t>
            </w:r>
            <w:proofErr w:type="spellStart"/>
            <w:r>
              <w:t>mikrovyučování</w:t>
            </w:r>
            <w:proofErr w:type="spellEnd"/>
          </w:p>
          <w:p w:rsidR="00A84960" w:rsidRDefault="00F67472" w:rsidP="00181107">
            <w:pPr>
              <w:pStyle w:val="Odstavecseseznamem"/>
              <w:numPr>
                <w:ilvl w:val="0"/>
                <w:numId w:val="4"/>
              </w:numPr>
              <w:snapToGrid w:val="0"/>
            </w:pPr>
            <w:r>
              <w:t>učební pomůcky a výběr učebnice pro výuku německého jazyka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Povinná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181107" w:rsidRDefault="00181107" w:rsidP="00181107">
            <w:pPr>
              <w:pStyle w:val="Normlnweb"/>
            </w:pPr>
            <w:r>
              <w:t xml:space="preserve">ARENDT, M. </w:t>
            </w:r>
            <w:proofErr w:type="spellStart"/>
            <w:r>
              <w:t>Aktives</w:t>
            </w:r>
            <w:proofErr w:type="spellEnd"/>
            <w:r>
              <w:t xml:space="preserve"> </w:t>
            </w:r>
            <w:proofErr w:type="spellStart"/>
            <w:r>
              <w:t>Sprachenlernen</w:t>
            </w:r>
            <w:proofErr w:type="spellEnd"/>
            <w:r>
              <w:t xml:space="preserve"> durch den </w:t>
            </w:r>
            <w:proofErr w:type="spellStart"/>
            <w:r>
              <w:t>Einsatz</w:t>
            </w:r>
            <w:proofErr w:type="spellEnd"/>
            <w:r>
              <w:t xml:space="preserve"> </w:t>
            </w:r>
            <w:proofErr w:type="spellStart"/>
            <w:r>
              <w:t>erprobter</w:t>
            </w:r>
            <w:proofErr w:type="spellEnd"/>
            <w:r>
              <w:t xml:space="preserve"> </w:t>
            </w:r>
            <w:proofErr w:type="spellStart"/>
            <w:r>
              <w:t>Unterrichtsverfahren</w:t>
            </w:r>
            <w:proofErr w:type="spellEnd"/>
            <w:r>
              <w:t xml:space="preserve">. </w:t>
            </w:r>
          </w:p>
          <w:p w:rsidR="00181107" w:rsidRDefault="00181107" w:rsidP="00181107">
            <w:pPr>
              <w:pStyle w:val="Normlnweb"/>
            </w:pPr>
            <w:proofErr w:type="spellStart"/>
            <w:r>
              <w:t>Fremdsprachenunterricht</w:t>
            </w:r>
            <w:proofErr w:type="spellEnd"/>
            <w:r>
              <w:t>. 2/2003.</w:t>
            </w:r>
          </w:p>
          <w:p w:rsidR="00181107" w:rsidRDefault="00181107" w:rsidP="00181107">
            <w:pPr>
              <w:pStyle w:val="Normlnweb"/>
            </w:pPr>
            <w:r>
              <w:t xml:space="preserve">BAUSCH, </w:t>
            </w:r>
            <w:proofErr w:type="gramStart"/>
            <w:r>
              <w:t>K.-R.</w:t>
            </w:r>
            <w:proofErr w:type="gramEnd"/>
            <w:r>
              <w:t xml:space="preserve"> </w:t>
            </w:r>
            <w:proofErr w:type="spellStart"/>
            <w:r>
              <w:t>Zwei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Mehrsprachigkeit</w:t>
            </w:r>
            <w:proofErr w:type="spellEnd"/>
            <w:r>
              <w:t xml:space="preserve">. In BAUSCH, K. R.; CHRIST, H.; KRUMM, H. J. </w:t>
            </w:r>
            <w:proofErr w:type="spellStart"/>
            <w:r>
              <w:t>Handbuch</w:t>
            </w:r>
            <w:proofErr w:type="spellEnd"/>
            <w:r>
              <w:t xml:space="preserve"> </w:t>
            </w:r>
            <w:proofErr w:type="spellStart"/>
            <w:r>
              <w:t>Fremdsprachenunterricht</w:t>
            </w:r>
            <w:proofErr w:type="spellEnd"/>
            <w:r>
              <w:t xml:space="preserve">. 3. </w:t>
            </w:r>
            <w:proofErr w:type="spellStart"/>
            <w:r>
              <w:t>übererarbeitete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erweiterte</w:t>
            </w:r>
            <w:proofErr w:type="spellEnd"/>
            <w:r>
              <w:t xml:space="preserve"> </w:t>
            </w:r>
            <w:proofErr w:type="spellStart"/>
            <w:r>
              <w:t>Ausgabe</w:t>
            </w:r>
            <w:proofErr w:type="spellEnd"/>
            <w:r>
              <w:t xml:space="preserve">. </w:t>
            </w:r>
            <w:proofErr w:type="spellStart"/>
            <w:r>
              <w:t>Tübingen</w:t>
            </w:r>
            <w:proofErr w:type="spellEnd"/>
            <w:r>
              <w:t xml:space="preserve">: A. </w:t>
            </w:r>
            <w:proofErr w:type="spellStart"/>
            <w:r>
              <w:t>Francke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1995. </w:t>
            </w:r>
          </w:p>
          <w:p w:rsidR="00181107" w:rsidRDefault="00181107" w:rsidP="00181107">
            <w:pPr>
              <w:pStyle w:val="Normlnweb"/>
            </w:pPr>
            <w:r>
              <w:t xml:space="preserve">BREDELLA, L.; </w:t>
            </w:r>
            <w:proofErr w:type="gramStart"/>
            <w:r>
              <w:t>MEISSNER, F.-J.</w:t>
            </w:r>
            <w:proofErr w:type="gramEnd"/>
            <w:r>
              <w:t xml:space="preserve">; NÜNNING, A.; RÖSLER, D. </w:t>
            </w:r>
            <w:proofErr w:type="spellStart"/>
            <w:r>
              <w:t>Wie</w:t>
            </w:r>
            <w:proofErr w:type="spellEnd"/>
            <w:r>
              <w:t xml:space="preserve">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Fremdverstehen</w:t>
            </w:r>
            <w:proofErr w:type="spellEnd"/>
            <w:r>
              <w:t xml:space="preserve"> </w:t>
            </w:r>
            <w:proofErr w:type="spellStart"/>
            <w:r>
              <w:t>lehr</w:t>
            </w:r>
            <w:proofErr w:type="spellEnd"/>
            <w:r>
              <w:t xml:space="preserve">- </w:t>
            </w:r>
            <w:proofErr w:type="spellStart"/>
            <w:r>
              <w:t>undlernbar</w:t>
            </w:r>
            <w:proofErr w:type="spellEnd"/>
            <w:r>
              <w:t xml:space="preserve">? </w:t>
            </w:r>
            <w:proofErr w:type="spellStart"/>
            <w:r>
              <w:t>Tübingen</w:t>
            </w:r>
            <w:proofErr w:type="spellEnd"/>
            <w:r>
              <w:t xml:space="preserve">: </w:t>
            </w:r>
            <w:proofErr w:type="spellStart"/>
            <w:r>
              <w:t>Gunter</w:t>
            </w:r>
            <w:proofErr w:type="spellEnd"/>
            <w:r>
              <w:t xml:space="preserve"> </w:t>
            </w:r>
            <w:proofErr w:type="spellStart"/>
            <w:r>
              <w:t>Narr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2000. ISBN 3-8252-2124-5.</w:t>
            </w:r>
          </w:p>
          <w:p w:rsidR="00181107" w:rsidRDefault="00181107" w:rsidP="00181107">
            <w:pPr>
              <w:pStyle w:val="Normlnweb"/>
            </w:pPr>
            <w:r>
              <w:t xml:space="preserve">BUTZKAMM, W. </w:t>
            </w:r>
            <w:proofErr w:type="spellStart"/>
            <w:r>
              <w:t>Lust</w:t>
            </w:r>
            <w:proofErr w:type="spellEnd"/>
            <w:r>
              <w:t xml:space="preserve"> </w:t>
            </w:r>
            <w:proofErr w:type="spellStart"/>
            <w:r>
              <w:t>zum</w:t>
            </w:r>
            <w:proofErr w:type="spellEnd"/>
            <w:r>
              <w:t xml:space="preserve"> </w:t>
            </w:r>
            <w:proofErr w:type="spellStart"/>
            <w:r>
              <w:t>Lernen</w:t>
            </w:r>
            <w:proofErr w:type="spellEnd"/>
            <w:r>
              <w:t xml:space="preserve">: </w:t>
            </w:r>
            <w:proofErr w:type="spellStart"/>
            <w:r>
              <w:t>Eine</w:t>
            </w:r>
            <w:proofErr w:type="spellEnd"/>
            <w:r>
              <w:t xml:space="preserve"> </w:t>
            </w:r>
            <w:proofErr w:type="spellStart"/>
            <w:r>
              <w:t>neue</w:t>
            </w:r>
            <w:proofErr w:type="spellEnd"/>
            <w:r>
              <w:t xml:space="preserve"> </w:t>
            </w:r>
            <w:proofErr w:type="spellStart"/>
            <w:r>
              <w:t>Methodik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den </w:t>
            </w:r>
            <w:proofErr w:type="spellStart"/>
            <w:r>
              <w:t>Fremdsprachenunterricht</w:t>
            </w:r>
            <w:proofErr w:type="spellEnd"/>
            <w:r>
              <w:t xml:space="preserve">. </w:t>
            </w:r>
            <w:proofErr w:type="spellStart"/>
            <w:r>
              <w:t>Tübingen</w:t>
            </w:r>
            <w:proofErr w:type="spellEnd"/>
            <w:r>
              <w:t xml:space="preserve">; </w:t>
            </w:r>
            <w:proofErr w:type="spellStart"/>
            <w:r>
              <w:t>Basel</w:t>
            </w:r>
            <w:proofErr w:type="spellEnd"/>
            <w:r>
              <w:t xml:space="preserve">: A. </w:t>
            </w:r>
            <w:proofErr w:type="spellStart"/>
            <w:r>
              <w:t>Francke</w:t>
            </w:r>
            <w:proofErr w:type="spellEnd"/>
            <w:r>
              <w:t xml:space="preserve"> </w:t>
            </w:r>
            <w:proofErr w:type="spellStart"/>
            <w:r>
              <w:t>Verlag</w:t>
            </w:r>
            <w:proofErr w:type="spellEnd"/>
            <w:r>
              <w:t>, 2004.</w:t>
            </w:r>
          </w:p>
          <w:p w:rsidR="00181107" w:rsidRDefault="00181107" w:rsidP="00181107">
            <w:pPr>
              <w:pStyle w:val="Normlnweb"/>
            </w:pPr>
            <w:r>
              <w:t>HELUS, Z. Dítě v osobnostním pojetí. Praha: Portál, 2004. ISBN 80-7178-888-0.</w:t>
            </w:r>
          </w:p>
          <w:p w:rsidR="00181107" w:rsidRDefault="00181107" w:rsidP="00181107">
            <w:pPr>
              <w:pStyle w:val="Normlnweb"/>
            </w:pPr>
            <w:r>
              <w:t xml:space="preserve">HENDRICH, j. a </w:t>
            </w:r>
            <w:proofErr w:type="gramStart"/>
            <w:r>
              <w:t>kol..</w:t>
            </w:r>
            <w:proofErr w:type="gramEnd"/>
            <w:r>
              <w:t xml:space="preserve"> Didaktika cizích jazyků. Praha: SPN, 1988.</w:t>
            </w:r>
          </w:p>
          <w:p w:rsidR="00181107" w:rsidRDefault="00181107" w:rsidP="00181107">
            <w:pPr>
              <w:pStyle w:val="Normlnweb"/>
            </w:pPr>
            <w:r>
              <w:t>HOFMANNOVÁ M.; NOVOLNÁ, J. CLIL-nový směr ve výuce. Cizí jazyky, 2002/2003, roč. 46, č. 1.</w:t>
            </w:r>
          </w:p>
          <w:p w:rsidR="00181107" w:rsidRDefault="00181107" w:rsidP="00181107">
            <w:pPr>
              <w:pStyle w:val="Normlnweb"/>
            </w:pPr>
            <w:r>
              <w:t>CHODĚRA, R./</w:t>
            </w:r>
            <w:proofErr w:type="gramStart"/>
            <w:r>
              <w:t>RIES.L.</w:t>
            </w:r>
            <w:proofErr w:type="gramEnd"/>
            <w:r>
              <w:t xml:space="preserve"> Výuka cizích jazyků na prahu nového tisíciletí. Ostrava: OSU, 1999. ISBN 80-7042-157-6.</w:t>
            </w:r>
          </w:p>
          <w:p w:rsidR="00181107" w:rsidRDefault="00181107" w:rsidP="00181107">
            <w:pPr>
              <w:pStyle w:val="Normlnweb"/>
            </w:pPr>
            <w:r>
              <w:t>PIAGET, J. Psychologie inteligence. Praha: Academia. 1970.</w:t>
            </w:r>
          </w:p>
          <w:p w:rsidR="00181107" w:rsidRDefault="00181107" w:rsidP="00181107">
            <w:pPr>
              <w:pStyle w:val="Normlnweb"/>
            </w:pPr>
            <w:r>
              <w:t xml:space="preserve">PODRÁPSKÁ, K. Kapitoly z </w:t>
            </w:r>
            <w:proofErr w:type="spellStart"/>
            <w:r>
              <w:t>lingvodidaktiky</w:t>
            </w:r>
            <w:proofErr w:type="spellEnd"/>
            <w:r>
              <w:t xml:space="preserve"> německého jazyka. TU Liberec 2008. ISBN 978-80-7372-293-7.</w:t>
            </w:r>
          </w:p>
          <w:p w:rsidR="00181107" w:rsidRDefault="00181107" w:rsidP="00181107">
            <w:pPr>
              <w:pStyle w:val="Normlnweb"/>
            </w:pPr>
            <w:r>
              <w:t>PRUCHA, J.; WALTEROVÁ, E.; MAREŠ. J. Pedagogický slovník. 4. vydání. Praha: Portál, 2003.</w:t>
            </w:r>
          </w:p>
          <w:p w:rsidR="00181107" w:rsidRDefault="00181107" w:rsidP="00181107">
            <w:pPr>
              <w:pStyle w:val="Normlnweb"/>
            </w:pPr>
            <w:r>
              <w:lastRenderedPageBreak/>
              <w:t>RIES, L./</w:t>
            </w:r>
            <w:proofErr w:type="gramStart"/>
            <w:r>
              <w:t>KOLLÁROVÁ, E.. Svět</w:t>
            </w:r>
            <w:proofErr w:type="gramEnd"/>
            <w:r>
              <w:t xml:space="preserve"> cizích jazyků dnes. Inovační trendy v cizojazyčné výuce. Bratislava: Pedagogické nakladatelství DIDAKTIS, 2004. ISBN 80-89-160-11-5.</w:t>
            </w:r>
          </w:p>
          <w:p w:rsidR="00A84960" w:rsidRDefault="00181107" w:rsidP="00181107">
            <w:pPr>
              <w:pStyle w:val="Normlnweb"/>
            </w:pPr>
            <w:r>
              <w:t xml:space="preserve">VYGOTSKIJ, </w:t>
            </w:r>
            <w:proofErr w:type="gramStart"/>
            <w:r>
              <w:t>L.S.</w:t>
            </w:r>
            <w:proofErr w:type="gramEnd"/>
            <w:r>
              <w:t xml:space="preserve"> Myšlení a řeč. 2. vydání. Praha: SPN 1976.</w:t>
            </w:r>
          </w:p>
        </w:tc>
      </w:tr>
    </w:tbl>
    <w:p w:rsidR="00A84960" w:rsidRDefault="00A84960" w:rsidP="00A84960">
      <w:pPr>
        <w:spacing w:before="17" w:after="17"/>
      </w:pPr>
    </w:p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 xml:space="preserve">Doporučená literatura: 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F67472" w:rsidRPr="00181107" w:rsidRDefault="00F67472" w:rsidP="00F67472">
            <w:pPr>
              <w:tabs>
                <w:tab w:val="left" w:pos="2348"/>
              </w:tabs>
              <w:snapToGrid w:val="0"/>
              <w:spacing w:before="23" w:after="23"/>
              <w:rPr>
                <w:color w:val="000000"/>
                <w:shd w:val="clear" w:color="auto" w:fill="FFFFFF"/>
              </w:rPr>
            </w:pPr>
            <w:bookmarkStart w:id="0" w:name="_GoBack"/>
            <w:bookmarkEnd w:id="0"/>
            <w:r w:rsidRPr="00181107">
              <w:rPr>
                <w:i/>
                <w:iCs/>
                <w:color w:val="000000"/>
                <w:shd w:val="clear" w:color="auto" w:fill="FFFFFF"/>
              </w:rPr>
              <w:t>Společný evropský referenční rámec pro jazyky: jak se učíme jazykům, jak je vyučujeme a jak v jazycích hodnotíme</w:t>
            </w:r>
            <w:r w:rsidRPr="00181107">
              <w:rPr>
                <w:color w:val="000000"/>
                <w:shd w:val="clear" w:color="auto" w:fill="FFFFFF"/>
              </w:rPr>
              <w:t xml:space="preserve">. Olomouc: Univerzita Palackého, 2002, </w:t>
            </w:r>
            <w:proofErr w:type="spellStart"/>
            <w:r w:rsidRPr="00181107">
              <w:rPr>
                <w:color w:val="000000"/>
                <w:shd w:val="clear" w:color="auto" w:fill="FFFFFF"/>
              </w:rPr>
              <w:t>xviii</w:t>
            </w:r>
            <w:proofErr w:type="spellEnd"/>
            <w:r w:rsidRPr="00181107">
              <w:rPr>
                <w:color w:val="000000"/>
                <w:shd w:val="clear" w:color="auto" w:fill="FFFFFF"/>
              </w:rPr>
              <w:t>, 267 s. ISBN 80-244-0404-4.</w:t>
            </w:r>
          </w:p>
          <w:p w:rsidR="00A84960" w:rsidRPr="00181107" w:rsidRDefault="00F67472" w:rsidP="00F67472">
            <w:pPr>
              <w:tabs>
                <w:tab w:val="left" w:pos="851"/>
                <w:tab w:val="left" w:pos="5103"/>
              </w:tabs>
              <w:spacing w:after="40"/>
            </w:pPr>
            <w:r w:rsidRPr="00181107">
              <w:t>Další odborná literatura doporučená na přednáškách a seminářích.</w:t>
            </w:r>
          </w:p>
          <w:p w:rsidR="00181107" w:rsidRPr="00181107" w:rsidRDefault="00181107" w:rsidP="00F67472">
            <w:pPr>
              <w:tabs>
                <w:tab w:val="left" w:pos="851"/>
                <w:tab w:val="left" w:pos="5103"/>
              </w:tabs>
              <w:spacing w:after="40"/>
            </w:pPr>
            <w:proofErr w:type="spellStart"/>
            <w:r w:rsidRPr="00181107">
              <w:t>Kurikulární</w:t>
            </w:r>
            <w:proofErr w:type="spellEnd"/>
            <w:r w:rsidRPr="00181107">
              <w:t xml:space="preserve"> dokumenty (RVP, ŠVP)</w:t>
            </w:r>
          </w:p>
          <w:p w:rsidR="00181107" w:rsidRPr="00181107" w:rsidRDefault="00181107" w:rsidP="00F67472">
            <w:pPr>
              <w:tabs>
                <w:tab w:val="left" w:pos="851"/>
                <w:tab w:val="left" w:pos="5103"/>
              </w:tabs>
              <w:spacing w:after="40"/>
            </w:pPr>
            <w:r w:rsidRPr="00181107">
              <w:t>Jazykové portfolio</w:t>
            </w:r>
          </w:p>
          <w:p w:rsidR="00181107" w:rsidRDefault="00181107" w:rsidP="00F67472">
            <w:pPr>
              <w:tabs>
                <w:tab w:val="left" w:pos="851"/>
                <w:tab w:val="left" w:pos="5103"/>
              </w:tabs>
              <w:spacing w:after="40"/>
            </w:pPr>
            <w:r w:rsidRPr="00181107">
              <w:t>Časopis Cizí jazyky</w:t>
            </w:r>
          </w:p>
        </w:tc>
      </w:tr>
    </w:tbl>
    <w:p w:rsidR="00A84960" w:rsidRDefault="00A84960" w:rsidP="00A84960"/>
    <w:tbl>
      <w:tblPr>
        <w:tblW w:w="9652" w:type="dxa"/>
        <w:tblInd w:w="-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52"/>
      </w:tblGrid>
      <w:tr w:rsidR="00A84960" w:rsidTr="00727BB2">
        <w:tc>
          <w:tcPr>
            <w:tcW w:w="9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2348"/>
              </w:tabs>
              <w:snapToGrid w:val="0"/>
              <w:spacing w:before="17" w:after="17"/>
              <w:rPr>
                <w:b/>
                <w:bCs/>
              </w:rPr>
            </w:pPr>
            <w:r>
              <w:rPr>
                <w:b/>
                <w:bCs/>
              </w:rPr>
              <w:t>Požadavky ke zkoušce:</w:t>
            </w:r>
          </w:p>
        </w:tc>
      </w:tr>
      <w:tr w:rsidR="00A84960" w:rsidTr="00727BB2">
        <w:tc>
          <w:tcPr>
            <w:tcW w:w="965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A84960" w:rsidRDefault="00A84960" w:rsidP="00727BB2">
            <w:pPr>
              <w:tabs>
                <w:tab w:val="left" w:pos="851"/>
                <w:tab w:val="left" w:pos="5103"/>
              </w:tabs>
              <w:spacing w:after="40"/>
            </w:pPr>
          </w:p>
        </w:tc>
      </w:tr>
    </w:tbl>
    <w:p w:rsidR="00A84960" w:rsidRDefault="00A84960" w:rsidP="00A84960"/>
    <w:p w:rsidR="007B54C6" w:rsidRDefault="007B54C6"/>
    <w:sectPr w:rsidR="007B54C6">
      <w:pgSz w:w="11906" w:h="16838"/>
      <w:pgMar w:top="1134" w:right="1134" w:bottom="1134" w:left="113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0283"/>
    <w:multiLevelType w:val="hybridMultilevel"/>
    <w:tmpl w:val="FC88B01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D41DFA"/>
    <w:multiLevelType w:val="hybridMultilevel"/>
    <w:tmpl w:val="48DC865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5D6923"/>
    <w:multiLevelType w:val="hybridMultilevel"/>
    <w:tmpl w:val="F4200902"/>
    <w:lvl w:ilvl="0" w:tplc="B3985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321"/>
    <w:multiLevelType w:val="hybridMultilevel"/>
    <w:tmpl w:val="A482A3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F6"/>
    <w:rsid w:val="00003265"/>
    <w:rsid w:val="00094E55"/>
    <w:rsid w:val="00181107"/>
    <w:rsid w:val="0026175D"/>
    <w:rsid w:val="00400DAD"/>
    <w:rsid w:val="00422E60"/>
    <w:rsid w:val="004B221D"/>
    <w:rsid w:val="005A24DD"/>
    <w:rsid w:val="005F2851"/>
    <w:rsid w:val="006711A7"/>
    <w:rsid w:val="007452E8"/>
    <w:rsid w:val="007B54C6"/>
    <w:rsid w:val="00A84960"/>
    <w:rsid w:val="00B367D1"/>
    <w:rsid w:val="00B87CF6"/>
    <w:rsid w:val="00BF3CE1"/>
    <w:rsid w:val="00C96410"/>
    <w:rsid w:val="00F6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B770F-4355-4812-AF17-83A275AF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96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uiPriority w:val="99"/>
    <w:qFormat/>
    <w:rsid w:val="00A84960"/>
    <w:pPr>
      <w:suppressLineNumbers/>
    </w:pPr>
  </w:style>
  <w:style w:type="character" w:styleId="Hypertextovodkaz">
    <w:name w:val="Hyperlink"/>
    <w:rsid w:val="00A8496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81107"/>
    <w:pPr>
      <w:ind w:left="720"/>
      <w:contextualSpacing/>
    </w:pPr>
    <w:rPr>
      <w:rFonts w:cs="Mangal"/>
      <w:szCs w:val="21"/>
    </w:rPr>
  </w:style>
  <w:style w:type="paragraph" w:styleId="Normlnweb">
    <w:name w:val="Normal (Web)"/>
    <w:basedOn w:val="Normln"/>
    <w:uiPriority w:val="99"/>
    <w:unhideWhenUsed/>
    <w:rsid w:val="00181107"/>
    <w:pPr>
      <w:widowControl/>
      <w:suppressAutoHyphens w:val="0"/>
      <w:spacing w:before="100" w:beforeAutospacing="1" w:after="100" w:afterAutospacing="1"/>
    </w:pPr>
    <w:rPr>
      <w:rFonts w:eastAsia="Times New Roman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2017-11-01T08:13:00Z</dcterms:created>
  <dcterms:modified xsi:type="dcterms:W3CDTF">2018-01-15T09:07:00Z</dcterms:modified>
</cp:coreProperties>
</file>