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434A20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pedagogicko-psychologická diagnostika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861F33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OCRY17UM09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434A20" w:rsidP="00757F3E">
            <w:pPr>
              <w:snapToGrid w:val="0"/>
              <w:rPr>
                <w:b/>
                <w:bCs/>
              </w:rPr>
            </w:pPr>
            <w:r w:rsidRPr="00434A20">
              <w:rPr>
                <w:b/>
                <w:bCs/>
              </w:rPr>
              <w:t>PhDr. Richard Braun,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434A20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434A20" w:rsidP="0066621F">
            <w:pPr>
              <w:pStyle w:val="Obsahtabulky"/>
              <w:snapToGrid w:val="0"/>
              <w:spacing w:before="17" w:after="17"/>
            </w:pPr>
            <w:r>
              <w:t>12</w:t>
            </w:r>
            <w:r w:rsidR="00F02FF8">
              <w:t xml:space="preserve"> hodin přímé výuky / </w:t>
            </w:r>
            <w:r>
              <w:t>8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434A20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434A20" w:rsidRPr="00434A20" w:rsidRDefault="00434A20" w:rsidP="00434A20">
      <w:pPr>
        <w:rPr>
          <w:b/>
          <w:bCs/>
          <w:i/>
        </w:rPr>
      </w:pPr>
      <w:r w:rsidRPr="00434A20">
        <w:rPr>
          <w:b/>
          <w:bCs/>
          <w:i/>
        </w:rPr>
        <w:t xml:space="preserve">Pedagogicko-psychologická diagnostika </w:t>
      </w:r>
    </w:p>
    <w:p w:rsidR="00434A20" w:rsidRPr="00434A20" w:rsidRDefault="00434A20" w:rsidP="00434A20">
      <w:pPr>
        <w:rPr>
          <w:bCs/>
        </w:rPr>
      </w:pPr>
      <w:r w:rsidRPr="00434A20">
        <w:rPr>
          <w:bCs/>
        </w:rPr>
        <w:t xml:space="preserve">Cílem tématu </w:t>
      </w:r>
      <w:r w:rsidRPr="00434A20">
        <w:rPr>
          <w:b/>
          <w:bCs/>
          <w:i/>
        </w:rPr>
        <w:t xml:space="preserve">pedagogicko-psychologická diagnostika </w:t>
      </w:r>
      <w:r w:rsidRPr="00434A20">
        <w:rPr>
          <w:bCs/>
        </w:rPr>
        <w:t>je naučit se poznávat osobnost dítěte, jeho schopnosti, vztahy ve skupině. Porozumět problematice pedagogicko-psychologické diagnostiky v kontextu výchovného působení. Ozřejmit si etické stránky diagnostického procesu a význam dokumentování a archivování výsledků diagnostických postupů.</w:t>
      </w:r>
    </w:p>
    <w:p w:rsidR="00434A20" w:rsidRPr="00434A20" w:rsidRDefault="00434A20" w:rsidP="00434A20">
      <w:pPr>
        <w:rPr>
          <w:bCs/>
          <w:u w:val="single"/>
        </w:rPr>
      </w:pPr>
      <w:r w:rsidRPr="00434A20">
        <w:rPr>
          <w:bCs/>
          <w:u w:val="single"/>
        </w:rPr>
        <w:t>Obsahové vymezení: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>Úvod do pedagogicko-psychologické diagnostiky, použití a konstrukce.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>Přehled diagnostických nástrojů.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>Klinické metody: rozhovor a pozorování, základní dotazníkové metody.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>Nestandardizované metody formou hry.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 xml:space="preserve">Základní přehled </w:t>
      </w:r>
      <w:proofErr w:type="spellStart"/>
      <w:r w:rsidRPr="00434A20">
        <w:rPr>
          <w:bCs/>
          <w:i/>
        </w:rPr>
        <w:t>grafognostických</w:t>
      </w:r>
      <w:proofErr w:type="spellEnd"/>
      <w:r w:rsidRPr="00434A20">
        <w:rPr>
          <w:bCs/>
          <w:i/>
        </w:rPr>
        <w:t xml:space="preserve"> metod.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>Etika práce s pedagogicko-psychologickými diagnostickými nástroji.</w:t>
      </w:r>
    </w:p>
    <w:p w:rsidR="00434A20" w:rsidRPr="00434A20" w:rsidRDefault="00434A20" w:rsidP="00434A20">
      <w:pPr>
        <w:numPr>
          <w:ilvl w:val="0"/>
          <w:numId w:val="7"/>
        </w:numPr>
        <w:rPr>
          <w:bCs/>
          <w:i/>
        </w:rPr>
      </w:pPr>
      <w:r w:rsidRPr="00434A20">
        <w:rPr>
          <w:bCs/>
          <w:i/>
        </w:rPr>
        <w:t xml:space="preserve">Archivace a dokumentace. 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785E"/>
    <w:multiLevelType w:val="hybridMultilevel"/>
    <w:tmpl w:val="E4A88B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4A20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61F33"/>
    <w:rsid w:val="008745EF"/>
    <w:rsid w:val="008E0DA8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0AF85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2017-10-17T13:59:00Z</dcterms:created>
  <dcterms:modified xsi:type="dcterms:W3CDTF">2017-10-17T14:32:00Z</dcterms:modified>
</cp:coreProperties>
</file>