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60" w:rsidRDefault="00A84960" w:rsidP="00A84960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VŠEOBECNĚ VZDĚLÁVACÍCH PŘEDMĚTŮ </w:t>
      </w:r>
      <w:r>
        <w:rPr>
          <w:b/>
          <w:bCs/>
          <w:sz w:val="32"/>
          <w:szCs w:val="32"/>
        </w:rPr>
        <w:br/>
        <w:t>SŠ A 2. STUPNĚ ZŠ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003265" w:rsidP="00A84960">
      <w:pPr>
        <w:spacing w:before="113" w:after="11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Pedagogická praxe</w:t>
      </w:r>
    </w:p>
    <w:p w:rsidR="00A84960" w:rsidRDefault="00A84960" w:rsidP="00A84960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A84960" w:rsidRPr="00653BF1" w:rsidRDefault="00653BF1" w:rsidP="00653BF1">
      <w:pPr>
        <w:spacing w:before="113" w:after="113"/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t>OCRY17UV08</w:t>
      </w:r>
    </w:p>
    <w:tbl>
      <w:tblPr>
        <w:tblW w:w="9659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9"/>
        <w:gridCol w:w="6900"/>
      </w:tblGrid>
      <w:tr w:rsidR="00A84960" w:rsidTr="00727BB2"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003265" w:rsidP="00727BB2">
            <w:pPr>
              <w:snapToGrid w:val="0"/>
              <w:rPr>
                <w:b/>
                <w:bCs/>
              </w:rPr>
            </w:pPr>
            <w:r w:rsidRPr="00003265">
              <w:rPr>
                <w:b/>
                <w:bCs/>
              </w:rPr>
              <w:t>PaedDr. Nataša Mazáčová,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17/2018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003265" w:rsidP="00727BB2">
            <w:pPr>
              <w:pStyle w:val="Obsahtabulky"/>
              <w:snapToGrid w:val="0"/>
              <w:spacing w:before="17" w:after="17"/>
            </w:pPr>
            <w:r>
              <w:t>Letní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003265" w:rsidP="00727BB2">
            <w:pPr>
              <w:pStyle w:val="Obsahtabulky"/>
              <w:snapToGrid w:val="0"/>
              <w:spacing w:before="17" w:after="17"/>
            </w:pPr>
            <w:r>
              <w:t>0</w:t>
            </w:r>
            <w:r w:rsidR="00A84960">
              <w:t xml:space="preserve"> hodin přímé výuky / </w:t>
            </w:r>
            <w:r w:rsidR="006711A7">
              <w:t>2</w:t>
            </w:r>
            <w:r>
              <w:t>0</w:t>
            </w:r>
            <w:r w:rsidR="00A84960">
              <w:t xml:space="preserve"> hodin samostudia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6711A7" w:rsidP="00727BB2">
            <w:pPr>
              <w:snapToGrid w:val="0"/>
            </w:pPr>
            <w:r>
              <w:t>Zápočet</w:t>
            </w:r>
          </w:p>
        </w:tc>
      </w:tr>
    </w:tbl>
    <w:p w:rsidR="00A84960" w:rsidRDefault="00A84960" w:rsidP="00A84960">
      <w:pPr>
        <w:spacing w:before="17" w:after="17"/>
      </w:pPr>
    </w:p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6976E8" w:rsidP="006A325E">
            <w:pPr>
              <w:rPr>
                <w:b/>
              </w:rPr>
            </w:pPr>
            <w:r>
              <w:rPr>
                <w:b/>
                <w:bCs/>
              </w:rPr>
              <w:t>Cíl předmětu:</w:t>
            </w:r>
            <w:r>
              <w:t xml:space="preserve">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6A325E" w:rsidP="00727BB2">
            <w:pPr>
              <w:snapToGrid w:val="0"/>
            </w:pPr>
            <w:r>
              <w:t>P</w:t>
            </w:r>
            <w:r w:rsidRPr="00775D67">
              <w:t>edagogická praxe směřuje k rozvíjení učitelských kompetencí v celém rozsahu, studenti získávají zkušenosti s výukou v kontextu fungování třídy a školy a ověřují si úroveň své učitelské způsobilosti. V průběhu pedagogické praxe dochází k rozvíjení kompetencí přímo spojených s vyučovacím procesem. Student učitelství tak má příležitosti propojovat a aplikovat teoretické vědomosti a pedagogické dovednosti získané během počáteční přípravy v konkrétní</w:t>
            </w:r>
            <w:r>
              <w:t>ch situacích ve</w:t>
            </w:r>
            <w:r w:rsidRPr="00775D67">
              <w:t xml:space="preserve"> škole.</w:t>
            </w: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6A325E">
            <w:pPr>
              <w:rPr>
                <w:b/>
              </w:rPr>
            </w:pPr>
            <w:r>
              <w:rPr>
                <w:b/>
              </w:rPr>
              <w:t>Obsah kurzu:</w:t>
            </w:r>
            <w:r w:rsidR="004234F0">
              <w:rPr>
                <w:b/>
              </w:rPr>
              <w:t xml:space="preserve">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6A325E" w:rsidP="00A84960">
            <w:pPr>
              <w:snapToGrid w:val="0"/>
            </w:pPr>
            <w:r w:rsidRPr="00BB095B">
              <w:rPr>
                <w:lang w:eastAsia="cs-CZ"/>
              </w:rPr>
              <w:t>V rámci studia Učitelství všeobecně vzděláva</w:t>
            </w:r>
            <w:r>
              <w:rPr>
                <w:lang w:eastAsia="cs-CZ"/>
              </w:rPr>
              <w:t>cích předmětů je realizována pedagogická praxe</w:t>
            </w:r>
            <w:r w:rsidRPr="00BB095B">
              <w:rPr>
                <w:lang w:eastAsia="cs-CZ"/>
              </w:rPr>
              <w:t xml:space="preserve"> v rozsahu </w:t>
            </w:r>
            <w:r>
              <w:rPr>
                <w:lang w:eastAsia="cs-CZ"/>
              </w:rPr>
              <w:t>20 hodin</w:t>
            </w:r>
            <w:r w:rsidRPr="00BB095B">
              <w:rPr>
                <w:lang w:eastAsia="cs-CZ"/>
              </w:rPr>
              <w:t xml:space="preserve">. Jedná se nejen o vlastní výuku studenta, ale zároveň také </w:t>
            </w:r>
            <w:r>
              <w:rPr>
                <w:lang w:eastAsia="cs-CZ"/>
              </w:rPr>
              <w:t xml:space="preserve">skupinové </w:t>
            </w:r>
            <w:r w:rsidRPr="00BB095B">
              <w:rPr>
                <w:lang w:eastAsia="cs-CZ"/>
              </w:rPr>
              <w:t>náslechy ve</w:t>
            </w:r>
            <w:r>
              <w:rPr>
                <w:lang w:eastAsia="cs-CZ"/>
              </w:rPr>
              <w:t xml:space="preserve"> výuce fakultních učitelů. </w:t>
            </w:r>
            <w:r w:rsidRPr="00BB095B">
              <w:rPr>
                <w:lang w:eastAsia="cs-CZ"/>
              </w:rPr>
              <w:t>V průběhu pedagogické praxe studenti realizují náslechy (hospitují) ve výuce zkušených fakultních učitelů, připravují si vlastní pedagogické výstupy a následně vyučují.  Nedílnou součástí náslechů a vlastní pedagogické činnosti jsou reflexe a sebereflexe studentů.</w:t>
            </w: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6A325E">
        <w:trPr>
          <w:trHeight w:val="318"/>
        </w:trPr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61823" w:rsidRDefault="00A84960" w:rsidP="006A325E">
            <w:pPr>
              <w:tabs>
                <w:tab w:val="left" w:pos="234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Povinná literatura: </w:t>
            </w:r>
          </w:p>
        </w:tc>
      </w:tr>
      <w:tr w:rsidR="00A84960" w:rsidTr="006A325E">
        <w:trPr>
          <w:trHeight w:val="35"/>
        </w:trPr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A325E" w:rsidRDefault="006A325E" w:rsidP="006A325E">
            <w:r w:rsidRPr="00512591">
              <w:t>MAZÁČOVÁ,</w:t>
            </w:r>
            <w:r>
              <w:t xml:space="preserve"> </w:t>
            </w:r>
            <w:r w:rsidRPr="00512591">
              <w:t xml:space="preserve">N. </w:t>
            </w:r>
            <w:r>
              <w:t>(2014).</w:t>
            </w:r>
            <w:r w:rsidRPr="00512591">
              <w:t xml:space="preserve"> </w:t>
            </w:r>
            <w:r>
              <w:t xml:space="preserve">Pedagogická praxe. Praha: </w:t>
            </w:r>
            <w:r w:rsidRPr="00512591">
              <w:t xml:space="preserve">Univerzita Karlova v Praze – Pedagogická </w:t>
            </w:r>
            <w:r w:rsidRPr="00512591">
              <w:lastRenderedPageBreak/>
              <w:t>fakulta</w:t>
            </w:r>
            <w:r>
              <w:t>.  ISBN 978-80-7290-673-4</w:t>
            </w:r>
          </w:p>
          <w:p w:rsidR="006A325E" w:rsidRDefault="006A325E" w:rsidP="006A325E">
            <w:r w:rsidRPr="00512591">
              <w:t>MAZÁČOVÁ,</w:t>
            </w:r>
            <w:r>
              <w:t xml:space="preserve"> </w:t>
            </w:r>
            <w:r w:rsidRPr="00512591">
              <w:t xml:space="preserve">N. </w:t>
            </w:r>
            <w:r>
              <w:t xml:space="preserve">(2014). Vybrané problémy obecné didaktiky. Praha: </w:t>
            </w:r>
            <w:r w:rsidRPr="00512591">
              <w:t>Univerzita Karlova v Praze – Pedagogická fakulta</w:t>
            </w:r>
            <w:r>
              <w:t>. ISBN  978-80-7290-677-2</w:t>
            </w:r>
          </w:p>
          <w:p w:rsidR="00A84960" w:rsidRDefault="00A84960" w:rsidP="00727BB2">
            <w:pPr>
              <w:tabs>
                <w:tab w:val="left" w:pos="2348"/>
              </w:tabs>
              <w:snapToGrid w:val="0"/>
            </w:pP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6A32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Doporučená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A325E" w:rsidRDefault="00A84960" w:rsidP="006A325E">
            <w:r>
              <w:t xml:space="preserve"> </w:t>
            </w:r>
            <w:r w:rsidR="006A325E">
              <w:t>FILOVÁ, H. Budoucí učitelé na souvislé praxi aneb rukověť cvičného učitele.</w:t>
            </w:r>
            <w:r w:rsidR="006A325E">
              <w:t xml:space="preserve"> </w:t>
            </w:r>
            <w:r w:rsidR="006A325E">
              <w:t>Brno:Paido.1999.</w:t>
            </w:r>
            <w:r w:rsidR="006A325E">
              <w:t xml:space="preserve"> </w:t>
            </w:r>
            <w:r w:rsidR="006A325E">
              <w:t>s.</w:t>
            </w:r>
            <w:r w:rsidR="006A325E">
              <w:t xml:space="preserve"> </w:t>
            </w:r>
            <w:r w:rsidR="006A325E">
              <w:t>93.ISBN80-85931-73-7</w:t>
            </w:r>
          </w:p>
          <w:p w:rsidR="006A325E" w:rsidRPr="00C922BA" w:rsidRDefault="006A325E" w:rsidP="006A325E">
            <w:pPr>
              <w:rPr>
                <w:rFonts w:eastAsia="Lucida Sans Unicode" w:cs="Tahoma"/>
                <w:kern w:val="1"/>
              </w:rPr>
            </w:pPr>
            <w:r>
              <w:rPr>
                <w:rFonts w:eastAsia="Lucida Sans Unicode" w:cs="Tahoma"/>
                <w:kern w:val="1"/>
              </w:rPr>
              <w:t>HAVEL,</w:t>
            </w:r>
            <w:r>
              <w:rPr>
                <w:rFonts w:eastAsia="Lucida Sans Unicode" w:cs="Tahoma"/>
                <w:kern w:val="1"/>
              </w:rPr>
              <w:t xml:space="preserve"> </w:t>
            </w:r>
            <w:proofErr w:type="gramStart"/>
            <w:r>
              <w:rPr>
                <w:rFonts w:eastAsia="Lucida Sans Unicode" w:cs="Tahoma"/>
                <w:kern w:val="1"/>
              </w:rPr>
              <w:t>J.</w:t>
            </w:r>
            <w:r>
              <w:rPr>
                <w:rFonts w:eastAsia="Lucida Sans Unicode" w:cs="Tahoma"/>
                <w:kern w:val="1"/>
              </w:rPr>
              <w:t xml:space="preserve"> </w:t>
            </w:r>
            <w:r>
              <w:rPr>
                <w:rFonts w:eastAsia="Lucida Sans Unicode" w:cs="Tahoma"/>
                <w:kern w:val="1"/>
              </w:rPr>
              <w:t>,JANÍK</w:t>
            </w:r>
            <w:proofErr w:type="gramEnd"/>
            <w:r>
              <w:rPr>
                <w:rFonts w:eastAsia="Lucida Sans Unicode" w:cs="Tahoma"/>
                <w:kern w:val="1"/>
              </w:rPr>
              <w:t>,</w:t>
            </w:r>
            <w:r>
              <w:rPr>
                <w:rFonts w:eastAsia="Lucida Sans Unicode" w:cs="Tahoma"/>
                <w:kern w:val="1"/>
              </w:rPr>
              <w:t xml:space="preserve"> </w:t>
            </w:r>
            <w:r>
              <w:rPr>
                <w:rFonts w:eastAsia="Lucida Sans Unicode" w:cs="Tahoma"/>
                <w:kern w:val="1"/>
              </w:rPr>
              <w:t>T.(</w:t>
            </w:r>
            <w:proofErr w:type="spellStart"/>
            <w:r>
              <w:rPr>
                <w:rFonts w:eastAsia="Lucida Sans Unicode" w:cs="Tahoma"/>
                <w:kern w:val="1"/>
              </w:rPr>
              <w:t>ed</w:t>
            </w:r>
            <w:proofErr w:type="spellEnd"/>
            <w:r>
              <w:rPr>
                <w:rFonts w:eastAsia="Lucida Sans Unicode" w:cs="Tahoma"/>
                <w:kern w:val="1"/>
              </w:rPr>
              <w:t xml:space="preserve">.)Pedagogická praxe v pregraduální přípravě učitelů. Brno. Pedagogická fakulta </w:t>
            </w:r>
            <w:proofErr w:type="gramStart"/>
            <w:r>
              <w:rPr>
                <w:rFonts w:eastAsia="Lucida Sans Unicode" w:cs="Tahoma"/>
                <w:kern w:val="1"/>
              </w:rPr>
              <w:t>MU</w:t>
            </w:r>
            <w:proofErr w:type="gramEnd"/>
            <w:r>
              <w:rPr>
                <w:rFonts w:eastAsia="Lucida Sans Unicode" w:cs="Tahoma"/>
                <w:kern w:val="1"/>
              </w:rPr>
              <w:t>.</w:t>
            </w:r>
            <w:proofErr w:type="gramStart"/>
            <w:r>
              <w:rPr>
                <w:rFonts w:eastAsia="Lucida Sans Unicode" w:cs="Tahoma"/>
                <w:kern w:val="1"/>
              </w:rPr>
              <w:t>s.</w:t>
            </w:r>
            <w:proofErr w:type="gramEnd"/>
            <w:r>
              <w:rPr>
                <w:rFonts w:eastAsia="Lucida Sans Unicode" w:cs="Tahoma"/>
                <w:kern w:val="1"/>
              </w:rPr>
              <w:t xml:space="preserve">193.ISBN 80-210-3378-9 </w:t>
            </w:r>
          </w:p>
          <w:p w:rsidR="006A325E" w:rsidRDefault="006A325E" w:rsidP="006A325E">
            <w:r w:rsidRPr="0050509D">
              <w:t>JANÍK</w:t>
            </w:r>
            <w:r>
              <w:t>,</w:t>
            </w:r>
            <w:r>
              <w:t xml:space="preserve"> </w:t>
            </w:r>
            <w:r>
              <w:t>T. (</w:t>
            </w:r>
            <w:proofErr w:type="spellStart"/>
            <w:r>
              <w:t>ed</w:t>
            </w:r>
            <w:proofErr w:type="spellEnd"/>
            <w:r>
              <w:t xml:space="preserve">.) </w:t>
            </w:r>
            <w:r w:rsidRPr="00D61823">
              <w:t>Úloha fakultního cvičného učitele a fakultní cvičné školy v přípravě budoucího učitele.</w:t>
            </w:r>
            <w:r>
              <w:rPr>
                <w:i/>
              </w:rPr>
              <w:t xml:space="preserve"> </w:t>
            </w:r>
            <w:r>
              <w:t xml:space="preserve">Brno: Pedagogická fakulta MU. </w:t>
            </w:r>
            <w:proofErr w:type="gramStart"/>
            <w:r>
              <w:t>2002</w:t>
            </w:r>
            <w:proofErr w:type="gramEnd"/>
            <w:r>
              <w:t>.</w:t>
            </w:r>
            <w:proofErr w:type="gramStart"/>
            <w:r>
              <w:t>s.</w:t>
            </w:r>
            <w:proofErr w:type="gramEnd"/>
            <w:r>
              <w:t>142.ISBN 80-86633-011-2</w:t>
            </w:r>
          </w:p>
          <w:p w:rsidR="00A84960" w:rsidRPr="006A325E" w:rsidRDefault="006A325E" w:rsidP="006A325E">
            <w:pPr>
              <w:pStyle w:val="Normlnodsazen"/>
              <w:spacing w:line="240" w:lineRule="auto"/>
              <w:ind w:left="709" w:hanging="709"/>
              <w:rPr>
                <w:rFonts w:ascii="Times New Roman" w:hAnsi="Times New Roman"/>
              </w:rPr>
            </w:pPr>
            <w:r w:rsidRPr="00D61823">
              <w:rPr>
                <w:rFonts w:ascii="Times New Roman" w:hAnsi="Times New Roman"/>
              </w:rPr>
              <w:t xml:space="preserve">SPILKOVÁ, V., TOMKOVÁ, A.,MAZÁČOVÁ,N., </w:t>
            </w:r>
            <w:proofErr w:type="spellStart"/>
            <w:r w:rsidRPr="00D61823">
              <w:rPr>
                <w:rFonts w:ascii="Times New Roman" w:hAnsi="Times New Roman"/>
              </w:rPr>
              <w:t>KARGEROVÁ,</w:t>
            </w:r>
            <w:proofErr w:type="gramStart"/>
            <w:r w:rsidRPr="00D61823">
              <w:rPr>
                <w:rFonts w:ascii="Times New Roman" w:hAnsi="Times New Roman"/>
              </w:rPr>
              <w:t>J.a</w:t>
            </w:r>
            <w:proofErr w:type="spellEnd"/>
            <w:r w:rsidRPr="00D61823">
              <w:rPr>
                <w:rFonts w:ascii="Times New Roman" w:hAnsi="Times New Roman"/>
              </w:rPr>
              <w:t xml:space="preserve"> kol</w:t>
            </w:r>
            <w:proofErr w:type="gramEnd"/>
            <w:r w:rsidRPr="00D61823">
              <w:rPr>
                <w:rFonts w:ascii="Times New Roman" w:hAnsi="Times New Roman"/>
              </w:rPr>
              <w:t>. Klinická škola a její role ve vzdělávání učitelů.</w:t>
            </w:r>
            <w:r w:rsidRPr="00D61823">
              <w:rPr>
                <w:rFonts w:ascii="Times New Roman" w:hAnsi="Times New Roman"/>
                <w:b/>
              </w:rPr>
              <w:t xml:space="preserve"> </w:t>
            </w:r>
            <w:r w:rsidRPr="00D61823">
              <w:rPr>
                <w:rFonts w:ascii="Times New Roman" w:hAnsi="Times New Roman"/>
              </w:rPr>
              <w:t>Praha: 2015, ISBN 978-80-7290-832-5</w:t>
            </w: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Požadavky ke zkoušce:</w:t>
            </w:r>
          </w:p>
          <w:p w:rsidR="008403D2" w:rsidRDefault="008403D2" w:rsidP="006A325E">
            <w:pPr>
              <w:rPr>
                <w:b/>
                <w:bCs/>
              </w:rPr>
            </w:pP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A325E" w:rsidRPr="003212A0" w:rsidRDefault="006A325E" w:rsidP="006A325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Atest za </w:t>
            </w:r>
            <w:r w:rsidRPr="003212A0">
              <w:rPr>
                <w:rFonts w:eastAsia="Times New Roman"/>
                <w:lang w:eastAsia="cs-CZ"/>
              </w:rPr>
              <w:t>pedagogickou praxi se uděluje na základě splnění všech níže uvedených požadavků:</w:t>
            </w:r>
          </w:p>
          <w:p w:rsidR="006A325E" w:rsidRDefault="006A325E" w:rsidP="006A325E">
            <w:pPr>
              <w:rPr>
                <w:lang w:eastAsia="cs-CZ"/>
              </w:rPr>
            </w:pPr>
          </w:p>
          <w:p w:rsidR="006A325E" w:rsidRPr="003212A0" w:rsidRDefault="006A325E" w:rsidP="006A325E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eastAsia="Times New Roman"/>
                <w:lang w:eastAsia="cs-CZ"/>
              </w:rPr>
            </w:pPr>
            <w:r w:rsidRPr="003212A0">
              <w:rPr>
                <w:rFonts w:eastAsia="Times New Roman"/>
                <w:iCs/>
                <w:lang w:eastAsia="cs-CZ"/>
              </w:rPr>
              <w:t>účasti na semináři a společných násleších ve fakultní ZŠ v rozsahu šesti</w:t>
            </w:r>
            <w:bookmarkStart w:id="0" w:name="_GoBack"/>
            <w:bookmarkEnd w:id="0"/>
            <w:r w:rsidRPr="003212A0">
              <w:rPr>
                <w:rFonts w:eastAsia="Times New Roman"/>
                <w:iCs/>
                <w:lang w:eastAsia="cs-CZ"/>
              </w:rPr>
              <w:t xml:space="preserve"> vyučovacích hodin</w:t>
            </w:r>
            <w:r w:rsidRPr="003212A0">
              <w:rPr>
                <w:rFonts w:eastAsia="Times New Roman"/>
                <w:lang w:eastAsia="cs-CZ"/>
              </w:rPr>
              <w:t xml:space="preserve"> </w:t>
            </w:r>
          </w:p>
          <w:p w:rsidR="006A325E" w:rsidRPr="003212A0" w:rsidRDefault="006A325E" w:rsidP="006A325E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eastAsia="Times New Roman"/>
                <w:lang w:eastAsia="cs-CZ"/>
              </w:rPr>
            </w:pPr>
            <w:r w:rsidRPr="003212A0">
              <w:rPr>
                <w:rFonts w:eastAsia="Times New Roman"/>
                <w:iCs/>
                <w:lang w:eastAsia="cs-CZ"/>
              </w:rPr>
              <w:t xml:space="preserve">samostudiu publikace </w:t>
            </w:r>
            <w:r w:rsidRPr="003212A0">
              <w:rPr>
                <w:rFonts w:eastAsia="Times New Roman"/>
                <w:b/>
                <w:bCs/>
                <w:iCs/>
                <w:lang w:eastAsia="cs-CZ"/>
              </w:rPr>
              <w:t>Pedagogická praxe</w:t>
            </w:r>
            <w:r w:rsidRPr="003212A0">
              <w:rPr>
                <w:rFonts w:eastAsia="Times New Roman"/>
                <w:iCs/>
                <w:lang w:eastAsia="cs-CZ"/>
              </w:rPr>
              <w:t xml:space="preserve"> (autorka PaedDr. Nataša Mazáčová, Ph.D.)</w:t>
            </w:r>
            <w:r w:rsidRPr="003212A0">
              <w:rPr>
                <w:rFonts w:eastAsia="Times New Roman"/>
                <w:lang w:eastAsia="cs-CZ"/>
              </w:rPr>
              <w:t xml:space="preserve"> </w:t>
            </w:r>
          </w:p>
          <w:p w:rsidR="006A325E" w:rsidRPr="003212A0" w:rsidRDefault="006A325E" w:rsidP="006A325E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iCs/>
                <w:lang w:eastAsia="cs-CZ"/>
              </w:rPr>
              <w:t>doložení</w:t>
            </w:r>
            <w:r w:rsidRPr="003212A0">
              <w:rPr>
                <w:rFonts w:eastAsia="Times New Roman"/>
                <w:iCs/>
                <w:lang w:eastAsia="cs-CZ"/>
              </w:rPr>
              <w:t xml:space="preserve"> potvrzení o realizaci pedagogické praxe ve škole v rozsahu minimálně 14 vyučovací</w:t>
            </w:r>
            <w:r w:rsidRPr="00624096">
              <w:rPr>
                <w:rFonts w:eastAsia="Times New Roman"/>
                <w:iCs/>
                <w:lang w:eastAsia="cs-CZ"/>
              </w:rPr>
              <w:t>c</w:t>
            </w:r>
            <w:r w:rsidRPr="003212A0">
              <w:rPr>
                <w:rFonts w:eastAsia="Times New Roman"/>
                <w:iCs/>
                <w:lang w:eastAsia="cs-CZ"/>
              </w:rPr>
              <w:t>h hodin</w:t>
            </w:r>
            <w:r w:rsidRPr="003212A0">
              <w:rPr>
                <w:rFonts w:eastAsia="Times New Roman"/>
                <w:lang w:eastAsia="cs-CZ"/>
              </w:rPr>
              <w:t xml:space="preserve"> </w:t>
            </w:r>
          </w:p>
          <w:p w:rsidR="006A325E" w:rsidRPr="003212A0" w:rsidRDefault="006A325E" w:rsidP="006A325E">
            <w:pPr>
              <w:widowControl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eastAsia="Times New Roman"/>
                <w:lang w:eastAsia="cs-CZ"/>
              </w:rPr>
            </w:pPr>
            <w:r w:rsidRPr="003212A0">
              <w:rPr>
                <w:rFonts w:eastAsia="Times New Roman"/>
                <w:iCs/>
                <w:lang w:eastAsia="cs-CZ"/>
              </w:rPr>
              <w:t>předložení pedagogického deníku</w:t>
            </w:r>
            <w:r>
              <w:rPr>
                <w:rFonts w:eastAsia="Times New Roman"/>
                <w:iCs/>
                <w:lang w:eastAsia="cs-CZ"/>
              </w:rPr>
              <w:t xml:space="preserve"> se zřetelem na reflexi náslechových hodin a sebereflexi</w:t>
            </w:r>
            <w:r w:rsidRPr="003212A0">
              <w:rPr>
                <w:rFonts w:eastAsia="Times New Roman"/>
                <w:lang w:eastAsia="cs-CZ"/>
              </w:rPr>
              <w:t xml:space="preserve"> </w:t>
            </w:r>
            <w:r>
              <w:rPr>
                <w:rFonts w:eastAsia="Times New Roman"/>
                <w:lang w:eastAsia="cs-CZ"/>
              </w:rPr>
              <w:t>vlastní výuky</w:t>
            </w:r>
          </w:p>
          <w:p w:rsidR="00A84960" w:rsidRPr="006A325E" w:rsidRDefault="006A325E" w:rsidP="006A325E">
            <w:pPr>
              <w:widowControl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rFonts w:eastAsia="Times New Roman"/>
                <w:lang w:eastAsia="cs-CZ"/>
              </w:rPr>
            </w:pPr>
            <w:r w:rsidRPr="003212A0">
              <w:rPr>
                <w:rFonts w:eastAsia="Times New Roman"/>
                <w:iCs/>
                <w:lang w:eastAsia="cs-CZ"/>
              </w:rPr>
              <w:t>předložení videozáznam vlastní výuky (platí pouze pro</w:t>
            </w:r>
            <w:r w:rsidRPr="003212A0">
              <w:rPr>
                <w:rFonts w:eastAsia="Times New Roman"/>
                <w:lang w:eastAsia="cs-CZ"/>
              </w:rPr>
              <w:t xml:space="preserve"> </w:t>
            </w:r>
            <w:r w:rsidRPr="003212A0">
              <w:rPr>
                <w:rFonts w:eastAsia="Times New Roman"/>
                <w:iCs/>
                <w:lang w:eastAsia="cs-CZ"/>
              </w:rPr>
              <w:t>studenty, kteří aktuálně nepracují jako učitelé)</w:t>
            </w:r>
            <w:r w:rsidRPr="003212A0">
              <w:rPr>
                <w:rFonts w:eastAsia="Times New Roman"/>
                <w:lang w:eastAsia="cs-CZ"/>
              </w:rPr>
              <w:t xml:space="preserve"> </w:t>
            </w:r>
          </w:p>
        </w:tc>
      </w:tr>
    </w:tbl>
    <w:p w:rsidR="00A84960" w:rsidRDefault="00A84960" w:rsidP="00A84960"/>
    <w:p w:rsidR="00A84960" w:rsidRDefault="00A84960" w:rsidP="00A84960">
      <w:pPr>
        <w:ind w:left="357"/>
        <w:jc w:val="both"/>
        <w:rPr>
          <w:rStyle w:val="Hypertextovodkaz"/>
          <w:b/>
          <w:bCs/>
          <w:i/>
        </w:rPr>
      </w:pPr>
    </w:p>
    <w:p w:rsidR="00A84960" w:rsidRDefault="00A84960" w:rsidP="00A84960">
      <w:pPr>
        <w:ind w:left="357"/>
        <w:jc w:val="both"/>
        <w:rPr>
          <w:rStyle w:val="Hypertextovodkaz"/>
          <w:b/>
          <w:bCs/>
          <w:i/>
        </w:rPr>
      </w:pPr>
    </w:p>
    <w:sectPr w:rsidR="00A84960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283"/>
    <w:multiLevelType w:val="hybridMultilevel"/>
    <w:tmpl w:val="FC88B0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3B63EA"/>
    <w:multiLevelType w:val="multilevel"/>
    <w:tmpl w:val="B7C2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F1F7F"/>
    <w:multiLevelType w:val="multilevel"/>
    <w:tmpl w:val="E066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24151"/>
    <w:multiLevelType w:val="multilevel"/>
    <w:tmpl w:val="1B24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41DFA"/>
    <w:multiLevelType w:val="hybridMultilevel"/>
    <w:tmpl w:val="48DC865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4E32F8F"/>
    <w:multiLevelType w:val="multilevel"/>
    <w:tmpl w:val="9192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8B2423"/>
    <w:multiLevelType w:val="multilevel"/>
    <w:tmpl w:val="0B14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F6"/>
    <w:rsid w:val="00003265"/>
    <w:rsid w:val="003E06FF"/>
    <w:rsid w:val="004234F0"/>
    <w:rsid w:val="005F2851"/>
    <w:rsid w:val="00624096"/>
    <w:rsid w:val="00653BF1"/>
    <w:rsid w:val="006711A7"/>
    <w:rsid w:val="006976E8"/>
    <w:rsid w:val="006A325E"/>
    <w:rsid w:val="006C17DF"/>
    <w:rsid w:val="007B54C6"/>
    <w:rsid w:val="00820C9F"/>
    <w:rsid w:val="008403D2"/>
    <w:rsid w:val="00A84960"/>
    <w:rsid w:val="00B87CF6"/>
    <w:rsid w:val="00C96410"/>
    <w:rsid w:val="00D6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9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qFormat/>
    <w:rsid w:val="00A84960"/>
    <w:pPr>
      <w:suppressLineNumbers/>
    </w:pPr>
  </w:style>
  <w:style w:type="character" w:styleId="Hypertextovodkaz">
    <w:name w:val="Hyperlink"/>
    <w:rsid w:val="00A84960"/>
    <w:rPr>
      <w:color w:val="0000FF"/>
      <w:u w:val="single"/>
    </w:rPr>
  </w:style>
  <w:style w:type="paragraph" w:styleId="Normlnodsazen">
    <w:name w:val="Normal Indent"/>
    <w:basedOn w:val="Normln"/>
    <w:uiPriority w:val="99"/>
    <w:unhideWhenUsed/>
    <w:rsid w:val="00D61823"/>
    <w:pPr>
      <w:spacing w:after="120" w:line="360" w:lineRule="auto"/>
      <w:ind w:left="708" w:firstLine="709"/>
    </w:pPr>
    <w:rPr>
      <w:rFonts w:ascii="Cambria" w:eastAsia="Arial Unicode MS" w:hAnsi="Cambria"/>
      <w:kern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9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qFormat/>
    <w:rsid w:val="00A84960"/>
    <w:pPr>
      <w:suppressLineNumbers/>
    </w:pPr>
  </w:style>
  <w:style w:type="character" w:styleId="Hypertextovodkaz">
    <w:name w:val="Hyperlink"/>
    <w:rsid w:val="00A84960"/>
    <w:rPr>
      <w:color w:val="0000FF"/>
      <w:u w:val="single"/>
    </w:rPr>
  </w:style>
  <w:style w:type="paragraph" w:styleId="Normlnodsazen">
    <w:name w:val="Normal Indent"/>
    <w:basedOn w:val="Normln"/>
    <w:uiPriority w:val="99"/>
    <w:unhideWhenUsed/>
    <w:rsid w:val="00D61823"/>
    <w:pPr>
      <w:spacing w:after="120" w:line="360" w:lineRule="auto"/>
      <w:ind w:left="708" w:firstLine="709"/>
    </w:pPr>
    <w:rPr>
      <w:rFonts w:ascii="Cambria" w:eastAsia="Arial Unicode MS" w:hAnsi="Cambria"/>
      <w:kern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Nataša</cp:lastModifiedBy>
  <cp:revision>4</cp:revision>
  <dcterms:created xsi:type="dcterms:W3CDTF">2017-11-13T10:00:00Z</dcterms:created>
  <dcterms:modified xsi:type="dcterms:W3CDTF">2017-11-13T16:07:00Z</dcterms:modified>
</cp:coreProperties>
</file>