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913E47" w:rsidRDefault="00913E47" w:rsidP="0091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913E47" w:rsidP="0091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UČITELSTVÍ VŠEOB</w:t>
      </w:r>
      <w:r w:rsidR="00B27DBD">
        <w:rPr>
          <w:b/>
          <w:bCs/>
          <w:sz w:val="32"/>
          <w:szCs w:val="32"/>
        </w:rPr>
        <w:t xml:space="preserve">ECNĚ VZDĚLÁVACÍCH PŘEDMĚTŮ </w:t>
      </w:r>
      <w:r w:rsidR="00B27DBD">
        <w:rPr>
          <w:b/>
          <w:bCs/>
          <w:sz w:val="32"/>
          <w:szCs w:val="32"/>
        </w:rPr>
        <w:br/>
        <w:t xml:space="preserve">SŠ A 2. STUPNĚ </w:t>
      </w:r>
      <w:r>
        <w:rPr>
          <w:b/>
          <w:bCs/>
          <w:sz w:val="32"/>
          <w:szCs w:val="32"/>
        </w:rPr>
        <w:t>ZŠ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F1D26" w:rsidRDefault="00757F3E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Psychologie vývojová a osobnosti</w:t>
      </w:r>
    </w:p>
    <w:p w:rsidR="00CF1D26" w:rsidRDefault="00CF1D26" w:rsidP="00181745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564635" w:rsidRPr="00AE3169" w:rsidRDefault="00564635" w:rsidP="00564635">
      <w:pPr>
        <w:spacing w:before="113" w:after="113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OCRY17UV05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3A7B84" w:rsidP="00757F3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PhDr. Václav Mertin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F84A9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84A9D">
            <w:pPr>
              <w:pStyle w:val="Obsahtabulky"/>
              <w:snapToGrid w:val="0"/>
              <w:spacing w:before="17" w:after="17"/>
            </w:pPr>
            <w:r>
              <w:t>16 hodin přímé výuky / 12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 w:rsidP="00757F3E">
            <w:pPr>
              <w:snapToGrid w:val="0"/>
            </w:pPr>
            <w:r>
              <w:t>Z</w:t>
            </w:r>
            <w:r w:rsidR="00757F3E">
              <w:t>kouška</w:t>
            </w:r>
            <w:r>
              <w:t xml:space="preserve"> 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FFE" w:rsidRPr="008E0DA8" w:rsidRDefault="00CF1D26" w:rsidP="003A7B84">
            <w:pPr>
              <w:pStyle w:val="Obsahtabulky"/>
              <w:pBdr>
                <w:bottom w:val="single" w:sz="4" w:space="1" w:color="auto"/>
              </w:pBdr>
              <w:snapToGrid w:val="0"/>
              <w:spacing w:before="17" w:after="17"/>
              <w:rPr>
                <w:bCs/>
              </w:rPr>
            </w:pPr>
            <w:r>
              <w:rPr>
                <w:b/>
                <w:bCs/>
              </w:rPr>
              <w:t>Cíl předmětu:</w:t>
            </w:r>
            <w:r w:rsidR="00D90FFE">
              <w:rPr>
                <w:b/>
                <w:bCs/>
              </w:rPr>
              <w:t xml:space="preserve"> </w:t>
            </w:r>
          </w:p>
          <w:p w:rsidR="00D80487" w:rsidRPr="008E0DA8" w:rsidRDefault="00D80487" w:rsidP="00ED4EA8">
            <w:pPr>
              <w:tabs>
                <w:tab w:val="left" w:pos="2348"/>
              </w:tabs>
              <w:snapToGrid w:val="0"/>
              <w:spacing w:before="17" w:after="17"/>
              <w:rPr>
                <w:bCs/>
              </w:rPr>
            </w:pPr>
            <w:r>
              <w:rPr>
                <w:b/>
                <w:bCs/>
              </w:rPr>
              <w:t xml:space="preserve">Cíl předmětu: </w:t>
            </w:r>
            <w:r w:rsidRPr="008E0DA8">
              <w:rPr>
                <w:bCs/>
              </w:rPr>
              <w:t>Orientace učitelů a vychovatelů</w:t>
            </w:r>
            <w:r>
              <w:rPr>
                <w:bCs/>
              </w:rPr>
              <w:t xml:space="preserve"> /a/ </w:t>
            </w:r>
            <w:r w:rsidRPr="008E0DA8">
              <w:rPr>
                <w:b/>
                <w:bCs/>
              </w:rPr>
              <w:t>v pojetí osobnosti</w:t>
            </w:r>
            <w:r>
              <w:rPr>
                <w:bCs/>
              </w:rPr>
              <w:t xml:space="preserve">, s důrazem na realizaci osobnostního přístupu k žákům (dětem dospívajícím); /b/ </w:t>
            </w:r>
            <w:r w:rsidRPr="008E0DA8">
              <w:rPr>
                <w:b/>
                <w:bCs/>
              </w:rPr>
              <w:t>v pojetí vývoje osobnosti</w:t>
            </w:r>
            <w:r>
              <w:rPr>
                <w:bCs/>
              </w:rPr>
              <w:t>, s důrazem na změny, kterými jedinec prochází ve zlomových událostech svého života a na využívání rozvojov</w:t>
            </w:r>
            <w:r w:rsidR="00DB1E33">
              <w:rPr>
                <w:bCs/>
              </w:rPr>
              <w:t>ých</w:t>
            </w:r>
            <w:r w:rsidR="00ED4EA8">
              <w:rPr>
                <w:bCs/>
              </w:rPr>
              <w:t xml:space="preserve">; /c/ </w:t>
            </w:r>
            <w:r w:rsidR="00ED4EA8" w:rsidRPr="00ED4EA8">
              <w:rPr>
                <w:b/>
                <w:bCs/>
              </w:rPr>
              <w:t xml:space="preserve">v aplikaci </w:t>
            </w:r>
            <w:r w:rsidR="00ED4EA8">
              <w:rPr>
                <w:b/>
                <w:bCs/>
              </w:rPr>
              <w:t xml:space="preserve">vybraných psychologických </w:t>
            </w:r>
            <w:r w:rsidR="00ED4EA8" w:rsidRPr="00ED4EA8">
              <w:rPr>
                <w:b/>
                <w:bCs/>
              </w:rPr>
              <w:t>poznatků v pedagogické praxi</w:t>
            </w:r>
            <w:r w:rsidR="00ED4EA8">
              <w:rPr>
                <w:b/>
                <w:bCs/>
              </w:rPr>
              <w:t>.</w:t>
            </w:r>
            <w:r w:rsidR="00DB1E33">
              <w:rPr>
                <w:bCs/>
              </w:rPr>
              <w:t xml:space="preserve"> </w:t>
            </w:r>
          </w:p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  <w:p w:rsidR="00CF1D26" w:rsidRPr="00E04D2A" w:rsidRDefault="00CF1D26">
            <w:pPr>
              <w:pStyle w:val="Obsahtabulky"/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 w:rsidP="00D90F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Obsah kurzu:</w:t>
            </w:r>
            <w:r w:rsidR="00D90FFE">
              <w:rPr>
                <w:b/>
                <w:bCs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487" w:rsidRDefault="00D80487" w:rsidP="00D80487">
            <w:pPr>
              <w:snapToGrid w:val="0"/>
            </w:pPr>
            <w:r>
              <w:t>A1: Pohled na osobnost v současné psychologii, význam pro pedagogiku, pro praxi vyučování a učení, vzdělávání a výchovy. Proč máme přistupovat k žáků</w:t>
            </w:r>
            <w:r w:rsidR="000E0BB9">
              <w:t>m</w:t>
            </w:r>
            <w:r>
              <w:t>/ studentům, dětem /dospívajícím jako k osobnostem? Proč máme vůči nim realizovat osobnostní přístup? Osobnostní přístup klade důraz na jedince jako subjekt, jako individualitu, jako organický celek vlastností. Učitele / vychovatele zajímá především osobnost situovaná ve výchovně vzdělávacím prostoru / procesu, v interakci učitel-žák-školní třída, v podmínkách školního úkolování apod.</w:t>
            </w:r>
          </w:p>
          <w:p w:rsidR="00D80487" w:rsidRDefault="00D80487" w:rsidP="00D80487">
            <w:pPr>
              <w:snapToGrid w:val="0"/>
            </w:pPr>
            <w:r>
              <w:t xml:space="preserve">A2: Pohled na jedince jakožto osobnost lze precizovat uplatňováním deseti zřetelů. Konkrétně, zřetelů </w:t>
            </w:r>
          </w:p>
          <w:p w:rsidR="00D80487" w:rsidRDefault="00D80487" w:rsidP="00D80487">
            <w:pPr>
              <w:pStyle w:val="Odstavecseseznamem"/>
              <w:numPr>
                <w:ilvl w:val="0"/>
                <w:numId w:val="1"/>
              </w:numPr>
              <w:snapToGrid w:val="0"/>
            </w:pPr>
            <w:r>
              <w:t xml:space="preserve">ke čtveřici základních vlastností (schopnostem, temperamentu, charakteru, odolnosti); </w:t>
            </w:r>
          </w:p>
          <w:p w:rsidR="00D80487" w:rsidRDefault="00D80487" w:rsidP="00D80487">
            <w:pPr>
              <w:pStyle w:val="Odstavecseseznamem"/>
              <w:numPr>
                <w:ilvl w:val="0"/>
                <w:numId w:val="1"/>
              </w:numPr>
              <w:snapToGrid w:val="0"/>
            </w:pPr>
            <w:r>
              <w:lastRenderedPageBreak/>
              <w:t>k zaměřenosti (osobností je člověk o něco usilující, vytyčující si cíle…);</w:t>
            </w:r>
          </w:p>
          <w:p w:rsidR="00D80487" w:rsidRDefault="00D80487" w:rsidP="00D80487">
            <w:pPr>
              <w:pStyle w:val="Odstavecseseznamem"/>
              <w:numPr>
                <w:ilvl w:val="0"/>
                <w:numId w:val="1"/>
              </w:numPr>
              <w:snapToGrid w:val="0"/>
            </w:pPr>
            <w:r>
              <w:t>k životní cestě (osobnost jakožto usilování o smysl a naplnění života).</w:t>
            </w:r>
          </w:p>
          <w:p w:rsidR="00D80487" w:rsidRDefault="00D80487" w:rsidP="00D80487">
            <w:pPr>
              <w:snapToGrid w:val="0"/>
            </w:pPr>
            <w:r>
              <w:t xml:space="preserve">B1: Pohled na vývoj osobnosti v současné psychologii, význam pro pedagogiku, pro praxi vyučování a učení, vzdělávání a výchovy. Hlavní činitelé vývoje osobnosti: činitelé biologičtí, hmotní činitelé vnějšího prostředí, druzí lidé – sociální a společensko-kulturní činitelé, aktivity samotného vyvíjejícího se jedince. Hlavní úrovně vývoje: vývoj jako zrání, učení, socializace, edukace, </w:t>
            </w:r>
            <w:proofErr w:type="spellStart"/>
            <w:r>
              <w:t>sebeutváření</w:t>
            </w:r>
            <w:proofErr w:type="spellEnd"/>
            <w:r>
              <w:t>. Polarity charakterizující vývoj: kontinuita versus diskontinuita ve vývoji; vzestupné</w:t>
            </w:r>
            <w:r w:rsidR="00465190">
              <w:t>/</w:t>
            </w:r>
            <w:r>
              <w:t>evoluční versus sestupné</w:t>
            </w:r>
            <w:r w:rsidR="00465190">
              <w:t>/</w:t>
            </w:r>
            <w:r>
              <w:t>involuční směřování vývoje; vývojová normalita versus odchylky od ní.</w:t>
            </w:r>
          </w:p>
          <w:p w:rsidR="00D80487" w:rsidRDefault="00D80487" w:rsidP="00D80487">
            <w:pPr>
              <w:snapToGrid w:val="0"/>
            </w:pPr>
            <w:r>
              <w:t>B2: Vývojové epochy a období:</w:t>
            </w:r>
          </w:p>
          <w:p w:rsidR="00CF1D26" w:rsidRDefault="00D80487" w:rsidP="00EA3CB0">
            <w:pPr>
              <w:pStyle w:val="Odstavecseseznamem"/>
              <w:numPr>
                <w:ilvl w:val="0"/>
                <w:numId w:val="2"/>
              </w:numPr>
              <w:snapToGrid w:val="0"/>
            </w:pPr>
            <w:r>
              <w:t>prenatální věk</w:t>
            </w:r>
            <w:r w:rsidR="00EA3CB0">
              <w:t>;</w:t>
            </w:r>
            <w:r>
              <w:t xml:space="preserve"> vývojová epocha dětství (období kojenecké, batolecí, předškolní, rané školní, pubescentní);</w:t>
            </w:r>
            <w:r w:rsidR="00EA3CB0">
              <w:t xml:space="preserve"> </w:t>
            </w:r>
            <w:r>
              <w:t>vývojová epocha adolescence;</w:t>
            </w:r>
            <w:r w:rsidR="00EA3CB0">
              <w:t xml:space="preserve"> </w:t>
            </w:r>
            <w:r>
              <w:t>vývojová epocha dospělosti (období dospělosti rané, střední, pozdní);</w:t>
            </w:r>
            <w:r w:rsidR="00EA3CB0">
              <w:t xml:space="preserve"> </w:t>
            </w:r>
            <w:r>
              <w:t>vývojová epocha stáří.</w:t>
            </w:r>
          </w:p>
          <w:p w:rsidR="00EA3CB0" w:rsidRDefault="00ED4EA8" w:rsidP="00ED4EA8">
            <w:pPr>
              <w:snapToGrid w:val="0"/>
            </w:pPr>
            <w:r>
              <w:t>C: A</w:t>
            </w:r>
            <w:r w:rsidR="00EA3CB0">
              <w:t xml:space="preserve">plikace poznatků vývojové psychologie </w:t>
            </w:r>
            <w:r>
              <w:t xml:space="preserve">a psychologie osobnosti </w:t>
            </w:r>
            <w:r w:rsidR="00EA3CB0">
              <w:t xml:space="preserve">ve školní praxi </w:t>
            </w:r>
            <w:r>
              <w:t>– problematika vstupu do školy, inkluzivní přístup k organizaci vzdělávání, výchovné přístupy)</w:t>
            </w:r>
          </w:p>
        </w:tc>
      </w:tr>
    </w:tbl>
    <w:p w:rsidR="00CF1D26" w:rsidRDefault="00CF1D26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 w:rsidP="00D90FFE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  <w:r w:rsidR="00D90FFE">
              <w:rPr>
                <w:b/>
                <w:bCs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33" w:rsidRDefault="00DB1E33" w:rsidP="00DB1E33">
            <w:pPr>
              <w:tabs>
                <w:tab w:val="left" w:pos="2348"/>
              </w:tabs>
              <w:snapToGrid w:val="0"/>
            </w:pPr>
            <w:proofErr w:type="spellStart"/>
            <w:r>
              <w:t>Helus</w:t>
            </w:r>
            <w:proofErr w:type="spellEnd"/>
            <w:r>
              <w:t>, Z.: Osobnost a její vývoj. (Druhé, přepracované vydání. Praha, Univerzita Karlova v Praze – Pedagogická fakulta, 2009.</w:t>
            </w:r>
          </w:p>
          <w:p w:rsidR="00CF1D26" w:rsidRDefault="00DB1E33" w:rsidP="00DB1E33">
            <w:pPr>
              <w:tabs>
                <w:tab w:val="left" w:pos="2348"/>
              </w:tabs>
              <w:snapToGrid w:val="0"/>
            </w:pPr>
            <w:proofErr w:type="spellStart"/>
            <w:r>
              <w:t>Helus</w:t>
            </w:r>
            <w:proofErr w:type="spellEnd"/>
            <w:r>
              <w:t xml:space="preserve">, Z.:  Úvod do psychologie. Praha, </w:t>
            </w:r>
            <w:proofErr w:type="spellStart"/>
            <w:r>
              <w:t>Grada</w:t>
            </w:r>
            <w:proofErr w:type="spellEnd"/>
            <w:r>
              <w:t>, 2011. Zejména část čtvrtá a šestá.</w:t>
            </w: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 w:rsidP="00D90FFE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Doporučená literatura:</w:t>
            </w:r>
            <w:r w:rsidR="00D90FFE">
              <w:rPr>
                <w:b/>
                <w:bCs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33" w:rsidRDefault="00DB1E33" w:rsidP="00DB1E33">
            <w:pPr>
              <w:tabs>
                <w:tab w:val="left" w:pos="2348"/>
              </w:tabs>
              <w:snapToGrid w:val="0"/>
              <w:spacing w:before="17" w:after="17"/>
            </w:pPr>
            <w:r>
              <w:t>A:</w:t>
            </w:r>
          </w:p>
          <w:p w:rsidR="00DB1E33" w:rsidRDefault="00DB1E33" w:rsidP="00DB1E33">
            <w:pPr>
              <w:tabs>
                <w:tab w:val="left" w:pos="2348"/>
              </w:tabs>
              <w:snapToGrid w:val="0"/>
              <w:spacing w:before="17" w:after="17"/>
            </w:pPr>
            <w:r>
              <w:t xml:space="preserve">Říčan, P.: Psychologie osobnosti. Praha, </w:t>
            </w:r>
            <w:proofErr w:type="spellStart"/>
            <w:r>
              <w:t>Grada</w:t>
            </w:r>
            <w:proofErr w:type="spellEnd"/>
            <w:r>
              <w:t>, 2007.</w:t>
            </w:r>
          </w:p>
          <w:p w:rsidR="00DB1E33" w:rsidRDefault="00DB1E33" w:rsidP="00DB1E33">
            <w:pPr>
              <w:tabs>
                <w:tab w:val="left" w:pos="2348"/>
              </w:tabs>
              <w:snapToGrid w:val="0"/>
              <w:spacing w:before="17" w:after="17"/>
            </w:pPr>
            <w:r>
              <w:t>Vágnerová, M.: Psychologie osobnosti. Praha, Karolinum, 2010.</w:t>
            </w:r>
          </w:p>
          <w:p w:rsidR="00DB1E33" w:rsidRDefault="00DB1E33" w:rsidP="00DB1E33">
            <w:pPr>
              <w:tabs>
                <w:tab w:val="left" w:pos="2348"/>
              </w:tabs>
              <w:snapToGrid w:val="0"/>
              <w:spacing w:before="17" w:after="17"/>
            </w:pPr>
            <w:r>
              <w:t>B:</w:t>
            </w:r>
          </w:p>
          <w:p w:rsidR="00DB1E33" w:rsidRDefault="00DB1E33" w:rsidP="00DB1E33">
            <w:pPr>
              <w:tabs>
                <w:tab w:val="left" w:pos="2348"/>
              </w:tabs>
              <w:snapToGrid w:val="0"/>
              <w:spacing w:before="17" w:after="17"/>
            </w:pPr>
            <w:r>
              <w:t xml:space="preserve">Langmeier, J., Krejčířová, D.: Vývojová psychologie. Praha, </w:t>
            </w:r>
            <w:proofErr w:type="spellStart"/>
            <w:r>
              <w:t>Grada</w:t>
            </w:r>
            <w:proofErr w:type="spellEnd"/>
            <w:r>
              <w:t>, 2006.</w:t>
            </w:r>
          </w:p>
          <w:p w:rsidR="00CF1D26" w:rsidRDefault="00DB1E33" w:rsidP="00DB1E33">
            <w:pPr>
              <w:tabs>
                <w:tab w:val="left" w:pos="2348"/>
              </w:tabs>
              <w:snapToGrid w:val="0"/>
              <w:spacing w:before="17" w:after="17"/>
            </w:pPr>
            <w:r>
              <w:t>Říčan, P.: Cesta životem. Praha, Portál, 2004.</w:t>
            </w:r>
          </w:p>
          <w:p w:rsidR="00ED4EA8" w:rsidRDefault="00ED4EA8" w:rsidP="00DB1E33">
            <w:pPr>
              <w:tabs>
                <w:tab w:val="left" w:pos="2348"/>
              </w:tabs>
              <w:snapToGrid w:val="0"/>
              <w:spacing w:before="17" w:after="17"/>
            </w:pPr>
            <w:r>
              <w:t xml:space="preserve">C: </w:t>
            </w:r>
          </w:p>
          <w:p w:rsidR="00ED4EA8" w:rsidRDefault="00ED4EA8" w:rsidP="00DB1E33">
            <w:pPr>
              <w:tabs>
                <w:tab w:val="left" w:pos="2348"/>
              </w:tabs>
              <w:snapToGrid w:val="0"/>
              <w:spacing w:before="17" w:after="17"/>
            </w:pPr>
            <w:r>
              <w:t>Mertin, V.: Výchova bez trestů. Praha, Wolters Kluwer, 2013.</w:t>
            </w: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 w:rsidP="00D8684A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>
              <w:rPr>
                <w:b/>
                <w:bCs/>
              </w:rPr>
              <w:t xml:space="preserve">: </w:t>
            </w:r>
          </w:p>
          <w:p w:rsidR="00D90FFE" w:rsidRDefault="00DB1E33" w:rsidP="00D8684A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Cs/>
              </w:rPr>
              <w:t>Test znalostí, ověřující zvládnutí učiva prezentovaného na přenáškách a obsaženého v povinné literatuře a alespoň jedné z knih doporučených.</w:t>
            </w:r>
          </w:p>
        </w:tc>
      </w:tr>
    </w:tbl>
    <w:p w:rsidR="00CF1D26" w:rsidRDefault="00CF1D26"/>
    <w:p w:rsidR="002F0D54" w:rsidRPr="002F0D54" w:rsidRDefault="002F0D54" w:rsidP="002F0D54">
      <w:pPr>
        <w:rPr>
          <w:b/>
          <w:bCs/>
          <w:i/>
        </w:rPr>
      </w:pPr>
      <w:r w:rsidRPr="002F0D54">
        <w:rPr>
          <w:b/>
          <w:bCs/>
          <w:i/>
        </w:rPr>
        <w:t>Psychologie vývojová a osobnosti</w:t>
      </w:r>
    </w:p>
    <w:p w:rsidR="002F0D54" w:rsidRPr="002F0D54" w:rsidRDefault="002F0D54" w:rsidP="002F0D54">
      <w:pPr>
        <w:rPr>
          <w:bCs/>
        </w:rPr>
      </w:pPr>
      <w:r w:rsidRPr="002F0D54">
        <w:rPr>
          <w:bCs/>
        </w:rPr>
        <w:t>Cílem je rozvinout u studentů reflektující náhled na to, co a jak v práci se svými žáky děláme, jaké se zde nabízejí alternativy, jak zvýšit účinnost výchovného a vzdělávacího působení na děti a mládež.</w:t>
      </w:r>
    </w:p>
    <w:p w:rsidR="002F0D54" w:rsidRPr="002F0D54" w:rsidRDefault="002F0D54" w:rsidP="002F0D54">
      <w:pPr>
        <w:rPr>
          <w:bCs/>
        </w:rPr>
      </w:pPr>
      <w:r w:rsidRPr="002F0D54">
        <w:rPr>
          <w:bCs/>
          <w:u w:val="single"/>
        </w:rPr>
        <w:t>Obsahové vymezení</w:t>
      </w:r>
      <w:r w:rsidRPr="002F0D54">
        <w:rPr>
          <w:bCs/>
        </w:rPr>
        <w:t>:</w:t>
      </w:r>
    </w:p>
    <w:p w:rsidR="002F0D54" w:rsidRPr="002F0D54" w:rsidRDefault="002F0D54" w:rsidP="002F0D54">
      <w:pPr>
        <w:numPr>
          <w:ilvl w:val="0"/>
          <w:numId w:val="3"/>
        </w:numPr>
        <w:rPr>
          <w:bCs/>
          <w:i/>
        </w:rPr>
      </w:pPr>
      <w:r w:rsidRPr="002F0D54">
        <w:rPr>
          <w:bCs/>
          <w:i/>
        </w:rPr>
        <w:t>Pojetí člověka jako osobnosti, význam pojmu osobnost v pedagogice. Konstituování osobnosti v dětství a mládí, úkoly výchovy.</w:t>
      </w:r>
    </w:p>
    <w:p w:rsidR="002F0D54" w:rsidRPr="002F0D54" w:rsidRDefault="002F0D54" w:rsidP="002F0D54">
      <w:pPr>
        <w:numPr>
          <w:ilvl w:val="0"/>
          <w:numId w:val="3"/>
        </w:numPr>
        <w:rPr>
          <w:bCs/>
          <w:i/>
        </w:rPr>
      </w:pPr>
      <w:r w:rsidRPr="002F0D54">
        <w:rPr>
          <w:bCs/>
          <w:i/>
        </w:rPr>
        <w:t>Pojetí vývoje/ontogeneze individua. Rozlišení zrání, vývoje učením a získáváním zkušeností, osobnostního rozvoje. Uvedení do základů vývojové psychologie.</w:t>
      </w:r>
    </w:p>
    <w:p w:rsidR="002F0D54" w:rsidRPr="002F0D54" w:rsidRDefault="002F0D54" w:rsidP="002F0D54">
      <w:pPr>
        <w:numPr>
          <w:ilvl w:val="0"/>
          <w:numId w:val="3"/>
        </w:numPr>
        <w:rPr>
          <w:bCs/>
          <w:i/>
        </w:rPr>
      </w:pPr>
      <w:r w:rsidRPr="002F0D54">
        <w:rPr>
          <w:bCs/>
          <w:i/>
        </w:rPr>
        <w:t>Faktory psychického vývoje, interakce mezi faktory. Působení soudobé rodiny. Potenciality vývoje/rozvoje - jejich využívání versus blokování. Důsledky pro edukaci.</w:t>
      </w:r>
    </w:p>
    <w:p w:rsidR="002F0D54" w:rsidRPr="002F0D54" w:rsidRDefault="002F0D54" w:rsidP="002F0D54">
      <w:pPr>
        <w:numPr>
          <w:ilvl w:val="0"/>
          <w:numId w:val="3"/>
        </w:numPr>
        <w:rPr>
          <w:bCs/>
          <w:i/>
        </w:rPr>
      </w:pPr>
      <w:r w:rsidRPr="002F0D54">
        <w:rPr>
          <w:bCs/>
          <w:i/>
        </w:rPr>
        <w:t xml:space="preserve">Citlivá období, respektive zlomové události ve vývoji dítěte. Tzv. vývojové úkoly; vůdčí typy činnosti, periodizace vývoje. Charakteristiky jednotlivých období. Úkoly pro </w:t>
      </w:r>
      <w:r w:rsidRPr="002F0D54">
        <w:rPr>
          <w:bCs/>
          <w:i/>
        </w:rPr>
        <w:lastRenderedPageBreak/>
        <w:t>výchovu. Problémy, které v jednotlivých vývojových obdobích nejčastěji vyvstávají; jejich analýza, možnosti řešení.</w:t>
      </w:r>
    </w:p>
    <w:p w:rsidR="002F0D54" w:rsidRPr="002F0D54" w:rsidRDefault="002F0D54" w:rsidP="002F0D54">
      <w:pPr>
        <w:numPr>
          <w:ilvl w:val="0"/>
          <w:numId w:val="3"/>
        </w:numPr>
        <w:rPr>
          <w:bCs/>
          <w:i/>
        </w:rPr>
      </w:pPr>
      <w:r w:rsidRPr="002F0D54">
        <w:rPr>
          <w:bCs/>
          <w:i/>
        </w:rPr>
        <w:t>Pohled na zvláštnosti vývoje dětí dnes - šance a ohrožení.</w:t>
      </w:r>
    </w:p>
    <w:p w:rsidR="002F0D54" w:rsidRPr="002F0D54" w:rsidRDefault="002F0D54" w:rsidP="002F0D54">
      <w:pPr>
        <w:numPr>
          <w:ilvl w:val="0"/>
          <w:numId w:val="3"/>
        </w:numPr>
        <w:rPr>
          <w:bCs/>
        </w:rPr>
      </w:pPr>
      <w:r w:rsidRPr="002F0D54">
        <w:rPr>
          <w:bCs/>
          <w:i/>
        </w:rPr>
        <w:t xml:space="preserve">Učitel jako osobnost a jako </w:t>
      </w:r>
      <w:proofErr w:type="spellStart"/>
      <w:r w:rsidRPr="002F0D54">
        <w:rPr>
          <w:bCs/>
          <w:i/>
        </w:rPr>
        <w:t>facilitátor</w:t>
      </w:r>
      <w:proofErr w:type="spellEnd"/>
      <w:r w:rsidRPr="002F0D54">
        <w:rPr>
          <w:bCs/>
          <w:i/>
        </w:rPr>
        <w:t xml:space="preserve"> psychického vývoje/osobnostního rozvoje dětí a mládeže</w:t>
      </w:r>
      <w:r w:rsidRPr="002F0D54">
        <w:rPr>
          <w:bCs/>
        </w:rPr>
        <w:t>.</w:t>
      </w:r>
    </w:p>
    <w:p w:rsidR="002F0D54" w:rsidRDefault="002F0D54"/>
    <w:sectPr w:rsidR="002F0D54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0D3B"/>
    <w:multiLevelType w:val="hybridMultilevel"/>
    <w:tmpl w:val="7CECE4C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6D86"/>
    <w:rsid w:val="000735B5"/>
    <w:rsid w:val="00093D9B"/>
    <w:rsid w:val="000E0BB9"/>
    <w:rsid w:val="000E7FB6"/>
    <w:rsid w:val="000F4189"/>
    <w:rsid w:val="00145E65"/>
    <w:rsid w:val="00181745"/>
    <w:rsid w:val="002F0D54"/>
    <w:rsid w:val="00334BD7"/>
    <w:rsid w:val="003A7B84"/>
    <w:rsid w:val="00435DD5"/>
    <w:rsid w:val="00465190"/>
    <w:rsid w:val="00507AC5"/>
    <w:rsid w:val="00564635"/>
    <w:rsid w:val="005A484C"/>
    <w:rsid w:val="0061079C"/>
    <w:rsid w:val="006115CF"/>
    <w:rsid w:val="00616A50"/>
    <w:rsid w:val="00640968"/>
    <w:rsid w:val="00655CE1"/>
    <w:rsid w:val="00656881"/>
    <w:rsid w:val="006B234D"/>
    <w:rsid w:val="006B2404"/>
    <w:rsid w:val="00730F17"/>
    <w:rsid w:val="00757F3E"/>
    <w:rsid w:val="00835F2F"/>
    <w:rsid w:val="008745EF"/>
    <w:rsid w:val="00913E47"/>
    <w:rsid w:val="00952127"/>
    <w:rsid w:val="00985D87"/>
    <w:rsid w:val="00AE3169"/>
    <w:rsid w:val="00AF5F7E"/>
    <w:rsid w:val="00B269DA"/>
    <w:rsid w:val="00B27DBD"/>
    <w:rsid w:val="00B72059"/>
    <w:rsid w:val="00B756E4"/>
    <w:rsid w:val="00BD5F4D"/>
    <w:rsid w:val="00BE3A26"/>
    <w:rsid w:val="00C858F6"/>
    <w:rsid w:val="00CF1D26"/>
    <w:rsid w:val="00D80487"/>
    <w:rsid w:val="00D8684A"/>
    <w:rsid w:val="00D90FFE"/>
    <w:rsid w:val="00DA6103"/>
    <w:rsid w:val="00DB1E33"/>
    <w:rsid w:val="00E00C25"/>
    <w:rsid w:val="00E04D2A"/>
    <w:rsid w:val="00EA3CB0"/>
    <w:rsid w:val="00EB7DB0"/>
    <w:rsid w:val="00ED4EA8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26A27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0FFE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05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05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4</cp:revision>
  <cp:lastPrinted>2016-12-05T08:56:00Z</cp:lastPrinted>
  <dcterms:created xsi:type="dcterms:W3CDTF">2016-12-06T07:42:00Z</dcterms:created>
  <dcterms:modified xsi:type="dcterms:W3CDTF">2017-10-17T14:44:00Z</dcterms:modified>
</cp:coreProperties>
</file>