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5B92" w14:textId="3A9C065D" w:rsidR="00210981" w:rsidRPr="001E372C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  <w:r w:rsidRPr="001E372C">
        <w:rPr>
          <w:rFonts w:ascii="Tw Cen MT" w:hAnsi="Tw Cen MT"/>
          <w:i/>
          <w:iCs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 wp14:anchorId="0EACEC03" wp14:editId="645B3C1C">
            <wp:simplePos x="0" y="0"/>
            <wp:positionH relativeFrom="column">
              <wp:posOffset>-32476</wp:posOffset>
            </wp:positionH>
            <wp:positionV relativeFrom="paragraph">
              <wp:posOffset>-272</wp:posOffset>
            </wp:positionV>
            <wp:extent cx="4203700" cy="1370164"/>
            <wp:effectExtent l="0" t="0" r="0" b="0"/>
            <wp:wrapThrough wrapText="bothSides">
              <wp:wrapPolygon edited="0">
                <wp:start x="3034" y="2704"/>
                <wp:lineTo x="2251" y="3905"/>
                <wp:lineTo x="1077" y="6910"/>
                <wp:lineTo x="979" y="9613"/>
                <wp:lineTo x="1077" y="13819"/>
                <wp:lineTo x="2349" y="17725"/>
                <wp:lineTo x="3132" y="18626"/>
                <wp:lineTo x="3818" y="18626"/>
                <wp:lineTo x="15270" y="17124"/>
                <wp:lineTo x="15564" y="15321"/>
                <wp:lineTo x="11844" y="12918"/>
                <wp:lineTo x="20164" y="11115"/>
                <wp:lineTo x="20556" y="9013"/>
                <wp:lineTo x="19675" y="8111"/>
                <wp:lineTo x="20752" y="6609"/>
                <wp:lineTo x="20066" y="3905"/>
                <wp:lineTo x="3915" y="2704"/>
                <wp:lineTo x="3034" y="2704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79B8" w14:textId="77777777" w:rsidR="00210981" w:rsidRPr="001E372C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4EB11570" w14:textId="77777777" w:rsidR="00210981" w:rsidRPr="001E372C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5AAE824C" w14:textId="77777777" w:rsidR="00210981" w:rsidRPr="001E372C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55758EF2" w14:textId="77777777" w:rsidR="00210981" w:rsidRPr="001E372C" w:rsidRDefault="00210981" w:rsidP="00210981">
      <w:pPr>
        <w:rPr>
          <w:rFonts w:ascii="Tw Cen MT" w:hAnsi="Tw Cen MT"/>
          <w:b/>
          <w:bCs/>
          <w:sz w:val="28"/>
          <w:szCs w:val="28"/>
        </w:rPr>
      </w:pPr>
    </w:p>
    <w:p w14:paraId="0B78481E" w14:textId="3974EB59" w:rsidR="00D96B1F" w:rsidRPr="001E372C" w:rsidRDefault="00210981" w:rsidP="00210981">
      <w:pPr>
        <w:pBdr>
          <w:bottom w:val="single" w:sz="4" w:space="1" w:color="auto"/>
        </w:pBdr>
        <w:jc w:val="center"/>
        <w:rPr>
          <w:rFonts w:ascii="Tw Cen MT" w:hAnsi="Tw Cen MT"/>
          <w:b/>
          <w:bCs/>
          <w:sz w:val="28"/>
          <w:szCs w:val="28"/>
        </w:rPr>
      </w:pPr>
      <w:r w:rsidRPr="001E372C">
        <w:rPr>
          <w:rFonts w:ascii="Tw Cen MT" w:hAnsi="Tw Cen MT"/>
          <w:b/>
          <w:bCs/>
          <w:sz w:val="28"/>
          <w:szCs w:val="28"/>
        </w:rPr>
        <w:t>Státní závěrečná zkouška z francouzského jazyka, literatury a didaktiky FJ</w:t>
      </w:r>
    </w:p>
    <w:p w14:paraId="118DCF16" w14:textId="084E401C" w:rsidR="00210981" w:rsidRPr="001E372C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00B459A7" w14:textId="704206C0" w:rsidR="00210981" w:rsidRPr="001E372C" w:rsidRDefault="00210981" w:rsidP="00210981">
      <w:pPr>
        <w:jc w:val="center"/>
        <w:rPr>
          <w:rFonts w:ascii="Tw Cen MT" w:hAnsi="Tw Cen MT"/>
          <w:sz w:val="28"/>
          <w:szCs w:val="28"/>
        </w:rPr>
      </w:pPr>
      <w:r w:rsidRPr="001E372C">
        <w:rPr>
          <w:rFonts w:ascii="Tw Cen MT" w:hAnsi="Tw Cen MT"/>
          <w:sz w:val="28"/>
          <w:szCs w:val="28"/>
        </w:rPr>
        <w:t>Seznam okruhů</w:t>
      </w:r>
    </w:p>
    <w:p w14:paraId="295BEB04" w14:textId="1542BD5E" w:rsidR="00210981" w:rsidRPr="001E372C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  <w:r w:rsidRPr="001E372C">
        <w:rPr>
          <w:rFonts w:ascii="Tw Cen MT" w:hAnsi="Tw Cen MT"/>
          <w:b/>
          <w:bCs/>
          <w:sz w:val="28"/>
          <w:szCs w:val="28"/>
        </w:rPr>
        <w:t xml:space="preserve">Část </w:t>
      </w:r>
      <w:r w:rsidR="001E372C" w:rsidRPr="001E372C">
        <w:rPr>
          <w:rFonts w:ascii="Tw Cen MT" w:hAnsi="Tw Cen MT"/>
          <w:b/>
          <w:bCs/>
          <w:sz w:val="28"/>
          <w:szCs w:val="28"/>
        </w:rPr>
        <w:t>A</w:t>
      </w:r>
      <w:r w:rsidRPr="001E372C">
        <w:rPr>
          <w:rFonts w:ascii="Tw Cen MT" w:hAnsi="Tw Cen MT"/>
          <w:b/>
          <w:bCs/>
          <w:sz w:val="28"/>
          <w:szCs w:val="28"/>
        </w:rPr>
        <w:t xml:space="preserve"> – </w:t>
      </w:r>
      <w:r w:rsidR="001E372C" w:rsidRPr="001E372C">
        <w:rPr>
          <w:rFonts w:ascii="Tw Cen MT" w:hAnsi="Tw Cen MT"/>
          <w:b/>
          <w:bCs/>
          <w:sz w:val="28"/>
          <w:szCs w:val="28"/>
        </w:rPr>
        <w:t>Jazyk</w:t>
      </w:r>
    </w:p>
    <w:p w14:paraId="34E71A33" w14:textId="20E4D88B" w:rsidR="00210981" w:rsidRPr="001E372C" w:rsidRDefault="00210981">
      <w:pPr>
        <w:rPr>
          <w:rFonts w:ascii="Tw Cen MT" w:hAnsi="Tw Cen MT"/>
          <w:sz w:val="28"/>
          <w:szCs w:val="28"/>
        </w:rPr>
      </w:pPr>
    </w:p>
    <w:p w14:paraId="077C396D" w14:textId="77777777" w:rsidR="00210981" w:rsidRPr="001E372C" w:rsidRDefault="00210981">
      <w:pPr>
        <w:rPr>
          <w:rFonts w:ascii="Tw Cen MT" w:hAnsi="Tw Cen MT"/>
          <w:sz w:val="32"/>
          <w:szCs w:val="28"/>
        </w:rPr>
      </w:pPr>
    </w:p>
    <w:p w14:paraId="6CF2E639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1.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Francophonie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et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francophonies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. </w:t>
      </w:r>
    </w:p>
    <w:p w14:paraId="3D771636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Institutionalisation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Politique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Droit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Monoliguisme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monoglossie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plurilinguisme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pluriglossie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1C9BF90D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26AE1CA0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2.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langues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008CE2BF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variété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dialecte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patois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contrastive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Classements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typologies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critères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paramètres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37E36AD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2A868F74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3.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langues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la France. </w:t>
      </w:r>
    </w:p>
    <w:p w14:paraId="073A0FD0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Politique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Droit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régionale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variété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dialecte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patois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Koinê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standard,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norme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usage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codification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Allophonie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Variation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diatopique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Législation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Deixonne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Charte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européenne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régionales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ou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minoritaires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1992.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n° 482 de 1999.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Décret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no 2001-733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31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juillet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2001.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Arrêté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19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avril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2002.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organique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27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février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2004.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Modification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Constitution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2008.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Proposition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n</w:t>
      </w:r>
      <w:r w:rsidRPr="001E372C">
        <w:rPr>
          <w:rFonts w:ascii="Arial" w:eastAsia="Times New Roman" w:hAnsi="Arial" w:cs="Arial"/>
          <w:sz w:val="24"/>
          <w:lang w:eastAsia="cs-CZ"/>
        </w:rPr>
        <w:t>◦</w:t>
      </w:r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3008.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Molac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597D5AA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390BAC6F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4.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en France.</w:t>
      </w:r>
    </w:p>
    <w:p w14:paraId="0FE2EA28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Politique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Droit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Promotion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protection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protectionnisme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dirigisme.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Législation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linguistique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Article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2 de la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Constitution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1958.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Bas-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Lauriol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Léotard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Loi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Toubon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Décret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n° 89-403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2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juin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1989.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Circulaire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6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mars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1995.</w:t>
      </w:r>
    </w:p>
    <w:p w14:paraId="0F3DAD1E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4C270E4C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5.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phonétisme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115C4E82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Niveau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suprasegmental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parlée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Prosodie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intonation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mélodie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rythme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accentuation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tempo,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unités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Syllabe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  </w:t>
      </w:r>
    </w:p>
    <w:p w14:paraId="1D3C7CFD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3493AC62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6.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phonétisme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. </w:t>
      </w:r>
    </w:p>
    <w:p w14:paraId="2049077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Niveau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segmental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Articulation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Orthoépie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parlée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Phonème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Allophonie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Variation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Vocalisme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semi-vocalisme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consonnantisme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2CB02E3B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7DEA6AA4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7.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classes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mots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250A1449" w14:textId="3637D054" w:rsid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sémasiologique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onomasiologique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morphémique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Allomorphies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mots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1640089A" w14:textId="3196A681" w:rsid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</w:p>
    <w:p w14:paraId="7B7E834B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</w:p>
    <w:p w14:paraId="0EB8EDFE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678EE8F6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lastRenderedPageBreak/>
        <w:t xml:space="preserve">8.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verbes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708C0E5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morphémique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Flexions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Tiroirs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verbaux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Paradigmatiques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480F0BCD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04449C68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9.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systématique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verbes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5730E898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Analyse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morphémique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Sous-classes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0A57EC82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6A18F02B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10.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noms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59C2A39F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Noms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substantifs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adjectifs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substantifs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adjectifs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Allomorphies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Intensification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adjectifs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1B0BEA39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33254FEB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11.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déterminants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3977C19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déterminants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Allomorphies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Paradigmatiques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déterminants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424A81D1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3F62FF19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12.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pronoms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53E1498F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pronoms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Flexions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pronoms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Paradigmatiques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pronoms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04CFC6DF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320D1D46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13.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classes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mots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invariables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–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adverbes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et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prépositions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. </w:t>
      </w:r>
    </w:p>
    <w:p w14:paraId="3C28CC1D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adverbes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prépositions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Invariabilité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Intensification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adverbes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042B4B88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br/>
      </w: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14.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classes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mots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invariables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–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conjonctions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. </w:t>
      </w:r>
    </w:p>
    <w:p w14:paraId="0BFD4F7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classification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pronoms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Invariabilité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0FDE3E68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5C0CDBC5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15. La syntaxe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intraphrastique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7457F30C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Approche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comparative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franco-tchèque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Phrase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Fonctions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Relations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6D14156F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368729C1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16.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syntagmes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constitutifs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phrase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–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syntagme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nominal</w:t>
      </w:r>
      <w:proofErr w:type="spellEnd"/>
    </w:p>
    <w:p w14:paraId="7A599046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nominal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assiette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nom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Fonctions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nominal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Ses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Relations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dans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lesquelles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s’inscrit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5900D25A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0F92A987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17.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syntagmes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constitutifs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phrase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–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syntagme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verbal</w:t>
      </w:r>
      <w:proofErr w:type="spellEnd"/>
    </w:p>
    <w:p w14:paraId="087E69ED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verbal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assiette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Fonctions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syntaxiques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verbal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Ses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Relations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syntagmatiques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dans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lesquelles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il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s’inscrit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74B26051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7A25FE9B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18.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couches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synchroniques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diachroniques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lexique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. </w:t>
      </w:r>
    </w:p>
    <w:p w14:paraId="1EA571D4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vocabulaire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Diachronie et synchronie.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Histoire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interne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histoire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externe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française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Étymologie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étymons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Fonds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héréditaires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Doublets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étymologiques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Stratifications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4C0C8CAF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187DF808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19. La diachronie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33A1184F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Diachronie et synchronie.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Histoire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interne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histoire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externe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française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latin. Latin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Latin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vulgaire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périodisations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Ancien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Sa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périodisation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Ses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caractéristiques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462E5A87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7B53BFFC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20.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structures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formelles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lexique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56F929AC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vocabulaire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Morphologie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lexicale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versus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morpphologie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grammaticale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Lexicologie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morphémique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Procédés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formation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Unité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lexicale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2FC08088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lastRenderedPageBreak/>
        <w:br/>
      </w: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21.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structures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sémantiques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070F9B1B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Relations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Unité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lexicale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morphémique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Connotation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Dénotation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Sens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premier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Sens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figuré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Signifiant et signifié.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Leur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assymétrie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dynamique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7CBE0909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216DA13F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22.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lexicographie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et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lexicologie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05CFB4D9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Définitions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champs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d’étude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Vocabulaire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Classements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dictionnaires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0C599CD6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br/>
      </w: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23.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registres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langue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française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64E2737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Diasystème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français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Dialecte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Variété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Variations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diastratique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diaphasique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diasituationnelle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diamésique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diagénique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</w:p>
    <w:p w14:paraId="5E747F22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br/>
      </w: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24. Les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figures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de style et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leurs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fonctions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363E3290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Fonction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poétique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Actualisation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Marquage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Relations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Unité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lexicale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Chaîne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morphémique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Lexème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Sémantème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Connotation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Dénotation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Sens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premier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Sens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figuré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Signifiant et signifié.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Leur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assymétrie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dynamique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0B2697C8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6299827C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25. La syntaxe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phrastique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interphrastique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362FBD0B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Phrase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Proposition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Coordination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Subordination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Hypotaxe. Parataxe.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Juxtaposition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Connecteurs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structuraux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Connecteurs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logiques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Conjonctions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t xml:space="preserve"> </w:t>
      </w:r>
    </w:p>
    <w:p w14:paraId="60741B59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614A02B1" w14:textId="77777777" w:rsidR="001E372C" w:rsidRPr="001E372C" w:rsidRDefault="001E372C" w:rsidP="001E372C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26.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discursivité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et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textualité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6F562693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Moyens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cohésion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textuelle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Moyens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la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cohérence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discursive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textuelle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5712D348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6"/>
          <w:lang w:eastAsia="cs-CZ"/>
        </w:rPr>
      </w:pPr>
    </w:p>
    <w:p w14:paraId="084050FE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27.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discours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 texte et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l’énoncé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266FDFF7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Langue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,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parole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langage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Énonciation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Fonctions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du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langage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Types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genres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discours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Types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genres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textes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Actes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parole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2CEFC958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b/>
          <w:sz w:val="28"/>
          <w:szCs w:val="26"/>
          <w:lang w:eastAsia="cs-CZ"/>
        </w:rPr>
      </w:pPr>
      <w:r w:rsidRPr="001E372C">
        <w:rPr>
          <w:rFonts w:ascii="Tw Cen MT" w:eastAsia="Times New Roman" w:hAnsi="Tw Cen MT" w:cs="Times New Roman"/>
          <w:sz w:val="28"/>
          <w:szCs w:val="26"/>
          <w:lang w:eastAsia="cs-CZ"/>
        </w:rPr>
        <w:br/>
      </w:r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 xml:space="preserve">28. La </w:t>
      </w:r>
      <w:proofErr w:type="spellStart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polyphonie</w:t>
      </w:r>
      <w:proofErr w:type="spellEnd"/>
      <w:r w:rsidRPr="001E372C">
        <w:rPr>
          <w:rFonts w:ascii="Tw Cen MT" w:eastAsia="Times New Roman" w:hAnsi="Tw Cen MT" w:cs="Times New Roman"/>
          <w:b/>
          <w:sz w:val="28"/>
          <w:szCs w:val="26"/>
          <w:lang w:eastAsia="cs-CZ"/>
        </w:rPr>
        <w:t>.</w:t>
      </w:r>
    </w:p>
    <w:p w14:paraId="060BFACE" w14:textId="77777777" w:rsidR="001E372C" w:rsidRPr="001E372C" w:rsidRDefault="001E372C" w:rsidP="001E372C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lang w:eastAsia="cs-CZ"/>
        </w:rPr>
      </w:pP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Discours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cit</w:t>
      </w:r>
      <w:bookmarkStart w:id="0" w:name="_GoBack"/>
      <w:bookmarkEnd w:id="0"/>
      <w:r w:rsidRPr="001E372C">
        <w:rPr>
          <w:rFonts w:ascii="Tw Cen MT" w:eastAsia="Times New Roman" w:hAnsi="Tw Cen MT" w:cs="Times New Roman"/>
          <w:sz w:val="24"/>
          <w:lang w:eastAsia="cs-CZ"/>
        </w:rPr>
        <w:t>ant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et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discours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Modalisation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en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discours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second.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Monophonie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Types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de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constellations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polyphoniques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Hétéroglossie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Interdiscursivité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Intertextualité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 xml:space="preserve">. </w:t>
      </w:r>
      <w:proofErr w:type="spellStart"/>
      <w:r w:rsidRPr="001E372C">
        <w:rPr>
          <w:rFonts w:ascii="Tw Cen MT" w:eastAsia="Times New Roman" w:hAnsi="Tw Cen MT" w:cs="Times New Roman"/>
          <w:sz w:val="24"/>
          <w:lang w:eastAsia="cs-CZ"/>
        </w:rPr>
        <w:t>Dialogisme</w:t>
      </w:r>
      <w:proofErr w:type="spellEnd"/>
      <w:r w:rsidRPr="001E372C">
        <w:rPr>
          <w:rFonts w:ascii="Tw Cen MT" w:eastAsia="Times New Roman" w:hAnsi="Tw Cen MT" w:cs="Times New Roman"/>
          <w:sz w:val="24"/>
          <w:lang w:eastAsia="cs-CZ"/>
        </w:rPr>
        <w:t>.</w:t>
      </w:r>
    </w:p>
    <w:p w14:paraId="14A16F67" w14:textId="77777777" w:rsidR="001E372C" w:rsidRPr="001E372C" w:rsidRDefault="001E372C" w:rsidP="001E372C">
      <w:pPr>
        <w:rPr>
          <w:rFonts w:ascii="Tw Cen MT" w:hAnsi="Tw Cen MT" w:cs="Times New Roman"/>
          <w:sz w:val="28"/>
          <w:szCs w:val="26"/>
        </w:rPr>
      </w:pPr>
    </w:p>
    <w:p w14:paraId="29683F76" w14:textId="77777777" w:rsidR="00086653" w:rsidRPr="001E372C" w:rsidRDefault="00086653" w:rsidP="001E372C">
      <w:pPr>
        <w:rPr>
          <w:rFonts w:ascii="Tw Cen MT" w:hAnsi="Tw Cen MT"/>
          <w:sz w:val="36"/>
          <w:szCs w:val="32"/>
        </w:rPr>
      </w:pPr>
    </w:p>
    <w:sectPr w:rsidR="00086653" w:rsidRPr="001E372C" w:rsidSect="00210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81"/>
    <w:rsid w:val="00086653"/>
    <w:rsid w:val="001E372C"/>
    <w:rsid w:val="00210981"/>
    <w:rsid w:val="003941D3"/>
    <w:rsid w:val="007A16CD"/>
    <w:rsid w:val="00A70F71"/>
    <w:rsid w:val="00AF382C"/>
    <w:rsid w:val="00B2736E"/>
    <w:rsid w:val="00BF2BB7"/>
    <w:rsid w:val="00C95695"/>
    <w:rsid w:val="00D96B1F"/>
    <w:rsid w:val="00D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4BD"/>
  <w15:chartTrackingRefBased/>
  <w15:docId w15:val="{7B8421E9-3A13-4D59-9836-F9842279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Klinka</dc:creator>
  <cp:keywords/>
  <dc:description/>
  <cp:lastModifiedBy>Tomáš Klinka</cp:lastModifiedBy>
  <cp:revision>5</cp:revision>
  <dcterms:created xsi:type="dcterms:W3CDTF">2022-09-17T07:46:00Z</dcterms:created>
  <dcterms:modified xsi:type="dcterms:W3CDTF">2022-09-30T11:25:00Z</dcterms:modified>
</cp:coreProperties>
</file>